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D25" w:rsidRDefault="00697BF6" w:rsidP="00325D25">
      <w:pPr>
        <w:spacing w:line="240" w:lineRule="auto"/>
        <w:rPr>
          <w:rFonts w:ascii="Times New Roman" w:hAnsi="Times New Roman" w:cs="Times New Roman"/>
          <w:b/>
          <w:sz w:val="24"/>
          <w:szCs w:val="24"/>
        </w:rPr>
      </w:pPr>
      <w:r w:rsidRPr="00697BF6">
        <w:rPr>
          <w:rFonts w:ascii="Times New Roman" w:hAnsi="Times New Roman" w:cs="Times New Roman"/>
          <w:b/>
          <w:sz w:val="24"/>
          <w:szCs w:val="24"/>
        </w:rPr>
        <w:t>PROPOSED RESEARCH BUDGET</w:t>
      </w:r>
    </w:p>
    <w:tbl>
      <w:tblPr>
        <w:tblStyle w:val="TableGrid"/>
        <w:tblW w:w="0" w:type="auto"/>
        <w:tblLook w:val="04A0" w:firstRow="1" w:lastRow="0" w:firstColumn="1" w:lastColumn="0" w:noHBand="0" w:noVBand="1"/>
      </w:tblPr>
      <w:tblGrid>
        <w:gridCol w:w="3599"/>
        <w:gridCol w:w="1287"/>
        <w:gridCol w:w="1440"/>
        <w:gridCol w:w="1310"/>
        <w:gridCol w:w="1380"/>
      </w:tblGrid>
      <w:tr w:rsidR="004547E1" w:rsidRPr="004547E1" w:rsidTr="004547E1">
        <w:tc>
          <w:tcPr>
            <w:tcW w:w="0" w:type="auto"/>
            <w:hideMark/>
          </w:tcPr>
          <w:p w:rsidR="004547E1" w:rsidRPr="004547E1" w:rsidRDefault="004547E1" w:rsidP="004547E1">
            <w:pPr>
              <w:jc w:val="center"/>
              <w:rPr>
                <w:rFonts w:ascii="Times New Roman" w:eastAsia="Times New Roman" w:hAnsi="Times New Roman" w:cs="Times New Roman"/>
                <w:b/>
                <w:bCs/>
                <w:sz w:val="24"/>
                <w:szCs w:val="24"/>
                <w:lang w:eastAsia="en-GB"/>
              </w:rPr>
            </w:pPr>
            <w:r w:rsidRPr="004547E1">
              <w:rPr>
                <w:rFonts w:ascii="Times New Roman" w:eastAsia="Times New Roman" w:hAnsi="Times New Roman" w:cs="Times New Roman"/>
                <w:b/>
                <w:bCs/>
                <w:sz w:val="24"/>
                <w:szCs w:val="24"/>
                <w:lang w:eastAsia="en-GB"/>
              </w:rPr>
              <w:t>Item</w:t>
            </w:r>
          </w:p>
        </w:tc>
        <w:tc>
          <w:tcPr>
            <w:tcW w:w="0" w:type="auto"/>
            <w:hideMark/>
          </w:tcPr>
          <w:p w:rsidR="004547E1" w:rsidRPr="004547E1" w:rsidRDefault="004547E1" w:rsidP="004547E1">
            <w:pPr>
              <w:jc w:val="right"/>
              <w:rPr>
                <w:rFonts w:ascii="Times New Roman" w:eastAsia="Times New Roman" w:hAnsi="Times New Roman" w:cs="Times New Roman"/>
                <w:b/>
                <w:bCs/>
                <w:sz w:val="24"/>
                <w:szCs w:val="24"/>
                <w:lang w:eastAsia="en-GB"/>
              </w:rPr>
            </w:pPr>
            <w:r w:rsidRPr="004547E1">
              <w:rPr>
                <w:rFonts w:ascii="Times New Roman" w:eastAsia="Times New Roman" w:hAnsi="Times New Roman" w:cs="Times New Roman"/>
                <w:b/>
                <w:bCs/>
                <w:sz w:val="24"/>
                <w:szCs w:val="24"/>
                <w:lang w:eastAsia="en-GB"/>
              </w:rPr>
              <w:t>Quantity</w:t>
            </w:r>
          </w:p>
        </w:tc>
        <w:tc>
          <w:tcPr>
            <w:tcW w:w="0" w:type="auto"/>
            <w:hideMark/>
          </w:tcPr>
          <w:p w:rsidR="004547E1" w:rsidRPr="004547E1" w:rsidRDefault="004547E1" w:rsidP="004547E1">
            <w:pPr>
              <w:jc w:val="right"/>
              <w:rPr>
                <w:rFonts w:ascii="Times New Roman" w:eastAsia="Times New Roman" w:hAnsi="Times New Roman" w:cs="Times New Roman"/>
                <w:b/>
                <w:bCs/>
                <w:sz w:val="24"/>
                <w:szCs w:val="24"/>
                <w:lang w:eastAsia="en-GB"/>
              </w:rPr>
            </w:pPr>
            <w:r w:rsidRPr="004547E1">
              <w:rPr>
                <w:rFonts w:ascii="Times New Roman" w:eastAsia="Times New Roman" w:hAnsi="Times New Roman" w:cs="Times New Roman"/>
                <w:b/>
                <w:bCs/>
                <w:sz w:val="24"/>
                <w:szCs w:val="24"/>
                <w:lang w:eastAsia="en-GB"/>
              </w:rPr>
              <w:t>Unit Cost (MK)</w:t>
            </w:r>
          </w:p>
        </w:tc>
        <w:tc>
          <w:tcPr>
            <w:tcW w:w="0" w:type="auto"/>
            <w:hideMark/>
          </w:tcPr>
          <w:p w:rsidR="004547E1" w:rsidRPr="004547E1" w:rsidRDefault="004547E1" w:rsidP="004547E1">
            <w:pPr>
              <w:jc w:val="right"/>
              <w:rPr>
                <w:rFonts w:ascii="Times New Roman" w:eastAsia="Times New Roman" w:hAnsi="Times New Roman" w:cs="Times New Roman"/>
                <w:b/>
                <w:bCs/>
                <w:sz w:val="24"/>
                <w:szCs w:val="24"/>
                <w:lang w:eastAsia="en-GB"/>
              </w:rPr>
            </w:pPr>
            <w:r w:rsidRPr="004547E1">
              <w:rPr>
                <w:rFonts w:ascii="Times New Roman" w:eastAsia="Times New Roman" w:hAnsi="Times New Roman" w:cs="Times New Roman"/>
                <w:b/>
                <w:bCs/>
                <w:sz w:val="24"/>
                <w:szCs w:val="24"/>
                <w:lang w:eastAsia="en-GB"/>
              </w:rPr>
              <w:t>Frequency</w:t>
            </w:r>
          </w:p>
        </w:tc>
        <w:tc>
          <w:tcPr>
            <w:tcW w:w="0" w:type="auto"/>
            <w:hideMark/>
          </w:tcPr>
          <w:p w:rsidR="004547E1" w:rsidRPr="004547E1" w:rsidRDefault="004547E1" w:rsidP="004547E1">
            <w:pPr>
              <w:jc w:val="right"/>
              <w:rPr>
                <w:rFonts w:ascii="Times New Roman" w:eastAsia="Times New Roman" w:hAnsi="Times New Roman" w:cs="Times New Roman"/>
                <w:b/>
                <w:bCs/>
                <w:sz w:val="24"/>
                <w:szCs w:val="24"/>
                <w:lang w:eastAsia="en-GB"/>
              </w:rPr>
            </w:pPr>
            <w:r w:rsidRPr="004547E1">
              <w:rPr>
                <w:rFonts w:ascii="Times New Roman" w:eastAsia="Times New Roman" w:hAnsi="Times New Roman" w:cs="Times New Roman"/>
                <w:b/>
                <w:bCs/>
                <w:sz w:val="24"/>
                <w:szCs w:val="24"/>
                <w:lang w:eastAsia="en-GB"/>
              </w:rPr>
              <w:t>Amount (MK)</w:t>
            </w:r>
          </w:p>
        </w:tc>
      </w:tr>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bookmarkStart w:id="0" w:name="_GoBack" w:colFirst="1" w:colLast="1"/>
            <w:r w:rsidRPr="004547E1">
              <w:rPr>
                <w:rFonts w:ascii="Times New Roman" w:eastAsia="Times New Roman" w:hAnsi="Times New Roman" w:cs="Times New Roman"/>
                <w:sz w:val="24"/>
                <w:szCs w:val="24"/>
                <w:lang w:eastAsia="en-GB"/>
              </w:rPr>
              <w:t>Printing and photocopying of research authorisation documents</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5 copies</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500</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2,500</w:t>
            </w:r>
          </w:p>
        </w:tc>
      </w:tr>
      <w:bookmarkEnd w:id="0"/>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Questionnaire production</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72 copies</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500</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36,000</w:t>
            </w:r>
          </w:p>
        </w:tc>
      </w:tr>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r w:rsidRPr="004547E1">
              <w:rPr>
                <w:rFonts w:ascii="Times New Roman" w:eastAsia="Times New Roman" w:hAnsi="Times New Roman" w:cs="Times New Roman"/>
                <w:bCs/>
                <w:sz w:val="24"/>
                <w:szCs w:val="24"/>
                <w:lang w:eastAsia="en-GB"/>
              </w:rPr>
              <w:t>Interview guides – printing and photocopying</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bCs/>
                <w:sz w:val="24"/>
                <w:szCs w:val="24"/>
                <w:lang w:eastAsia="en-GB"/>
              </w:rPr>
              <w:t>10 copies</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bCs/>
                <w:sz w:val="24"/>
                <w:szCs w:val="24"/>
                <w:lang w:eastAsia="en-GB"/>
              </w:rPr>
              <w:t>500</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bCs/>
                <w:sz w:val="24"/>
                <w:szCs w:val="24"/>
                <w:lang w:eastAsia="en-GB"/>
              </w:rPr>
              <w:t>1</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bCs/>
                <w:sz w:val="24"/>
                <w:szCs w:val="24"/>
                <w:lang w:eastAsia="en-GB"/>
              </w:rPr>
              <w:t>5,000</w:t>
            </w:r>
          </w:p>
        </w:tc>
      </w:tr>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Consent forms – printing and photocopying</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77 copies</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500</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38,500</w:t>
            </w:r>
          </w:p>
        </w:tc>
      </w:tr>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Stationery</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 lot</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20,000</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20,000</w:t>
            </w:r>
          </w:p>
        </w:tc>
      </w:tr>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Transport to 24 participating schools in 8 districts</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8 trips</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25,000</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200,000</w:t>
            </w:r>
          </w:p>
        </w:tc>
      </w:tr>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Accommodation during field data collection</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8 trips</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25,000</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200,000</w:t>
            </w:r>
          </w:p>
        </w:tc>
      </w:tr>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Pilot testing of research instruments</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 activity</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30,000</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30,000</w:t>
            </w:r>
          </w:p>
        </w:tc>
      </w:tr>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Data entry, cleaning and analysis</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 service</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60,000</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60,000</w:t>
            </w:r>
          </w:p>
        </w:tc>
      </w:tr>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Interview transcription</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5 interviews</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15,000</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75,000</w:t>
            </w:r>
          </w:p>
        </w:tc>
      </w:tr>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Printing and binding of final dissertation</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3 copies</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15,000</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45,000</w:t>
            </w:r>
          </w:p>
        </w:tc>
      </w:tr>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Contingency and miscellaneous expenses</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 lot</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70,000</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70,000</w:t>
            </w:r>
          </w:p>
        </w:tc>
      </w:tr>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r w:rsidRPr="004547E1">
              <w:rPr>
                <w:rFonts w:ascii="Times New Roman" w:eastAsia="Times New Roman" w:hAnsi="Times New Roman" w:cs="Times New Roman"/>
                <w:b/>
                <w:bCs/>
                <w:sz w:val="24"/>
                <w:szCs w:val="24"/>
                <w:lang w:eastAsia="en-GB"/>
              </w:rPr>
              <w:t>Subtotal</w:t>
            </w:r>
          </w:p>
        </w:tc>
        <w:tc>
          <w:tcPr>
            <w:tcW w:w="0" w:type="auto"/>
            <w:hideMark/>
          </w:tcPr>
          <w:p w:rsidR="004547E1" w:rsidRPr="004547E1" w:rsidRDefault="004547E1" w:rsidP="004547E1">
            <w:pPr>
              <w:rPr>
                <w:rFonts w:ascii="Times New Roman" w:eastAsia="Times New Roman" w:hAnsi="Times New Roman" w:cs="Times New Roman"/>
                <w:sz w:val="24"/>
                <w:szCs w:val="24"/>
                <w:lang w:eastAsia="en-GB"/>
              </w:rPr>
            </w:pPr>
          </w:p>
        </w:tc>
        <w:tc>
          <w:tcPr>
            <w:tcW w:w="0" w:type="auto"/>
            <w:hideMark/>
          </w:tcPr>
          <w:p w:rsidR="004547E1" w:rsidRPr="004547E1" w:rsidRDefault="004547E1" w:rsidP="004547E1">
            <w:pPr>
              <w:jc w:val="right"/>
              <w:rPr>
                <w:rFonts w:ascii="Times New Roman" w:eastAsia="Times New Roman" w:hAnsi="Times New Roman" w:cs="Times New Roman"/>
                <w:sz w:val="20"/>
                <w:szCs w:val="20"/>
                <w:lang w:eastAsia="en-GB"/>
              </w:rPr>
            </w:pPr>
          </w:p>
        </w:tc>
        <w:tc>
          <w:tcPr>
            <w:tcW w:w="0" w:type="auto"/>
            <w:hideMark/>
          </w:tcPr>
          <w:p w:rsidR="004547E1" w:rsidRPr="004547E1" w:rsidRDefault="004547E1" w:rsidP="004547E1">
            <w:pPr>
              <w:jc w:val="right"/>
              <w:rPr>
                <w:rFonts w:ascii="Times New Roman" w:eastAsia="Times New Roman" w:hAnsi="Times New Roman" w:cs="Times New Roman"/>
                <w:sz w:val="20"/>
                <w:szCs w:val="20"/>
                <w:lang w:eastAsia="en-GB"/>
              </w:rPr>
            </w:pP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b/>
                <w:bCs/>
                <w:sz w:val="24"/>
                <w:szCs w:val="24"/>
                <w:lang w:eastAsia="en-GB"/>
              </w:rPr>
              <w:t>884,500</w:t>
            </w:r>
          </w:p>
        </w:tc>
      </w:tr>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r w:rsidRPr="004547E1">
              <w:rPr>
                <w:rFonts w:ascii="Times New Roman" w:eastAsia="Times New Roman" w:hAnsi="Times New Roman" w:cs="Times New Roman"/>
                <w:b/>
                <w:bCs/>
                <w:sz w:val="24"/>
                <w:szCs w:val="24"/>
                <w:lang w:eastAsia="en-GB"/>
              </w:rPr>
              <w:t>10% Compliance &amp; Capacity Building Fee</w:t>
            </w:r>
          </w:p>
        </w:tc>
        <w:tc>
          <w:tcPr>
            <w:tcW w:w="0" w:type="auto"/>
            <w:hideMark/>
          </w:tcPr>
          <w:p w:rsidR="004547E1" w:rsidRPr="004547E1" w:rsidRDefault="004547E1" w:rsidP="004547E1">
            <w:pPr>
              <w:rPr>
                <w:rFonts w:ascii="Times New Roman" w:eastAsia="Times New Roman" w:hAnsi="Times New Roman" w:cs="Times New Roman"/>
                <w:sz w:val="24"/>
                <w:szCs w:val="24"/>
                <w:lang w:eastAsia="en-GB"/>
              </w:rPr>
            </w:pPr>
          </w:p>
        </w:tc>
        <w:tc>
          <w:tcPr>
            <w:tcW w:w="0" w:type="auto"/>
            <w:hideMark/>
          </w:tcPr>
          <w:p w:rsidR="004547E1" w:rsidRPr="004547E1" w:rsidRDefault="004547E1" w:rsidP="004547E1">
            <w:pPr>
              <w:jc w:val="right"/>
              <w:rPr>
                <w:rFonts w:ascii="Times New Roman" w:eastAsia="Times New Roman" w:hAnsi="Times New Roman" w:cs="Times New Roman"/>
                <w:sz w:val="20"/>
                <w:szCs w:val="20"/>
                <w:lang w:eastAsia="en-GB"/>
              </w:rPr>
            </w:pPr>
          </w:p>
        </w:tc>
        <w:tc>
          <w:tcPr>
            <w:tcW w:w="0" w:type="auto"/>
            <w:hideMark/>
          </w:tcPr>
          <w:p w:rsidR="004547E1" w:rsidRPr="004547E1" w:rsidRDefault="004547E1" w:rsidP="004547E1">
            <w:pPr>
              <w:jc w:val="right"/>
              <w:rPr>
                <w:rFonts w:ascii="Times New Roman" w:eastAsia="Times New Roman" w:hAnsi="Times New Roman" w:cs="Times New Roman"/>
                <w:sz w:val="20"/>
                <w:szCs w:val="20"/>
                <w:lang w:eastAsia="en-GB"/>
              </w:rPr>
            </w:pP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b/>
                <w:bCs/>
                <w:sz w:val="24"/>
                <w:szCs w:val="24"/>
                <w:lang w:eastAsia="en-GB"/>
              </w:rPr>
              <w:t>88,450</w:t>
            </w:r>
          </w:p>
        </w:tc>
      </w:tr>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r w:rsidRPr="004547E1">
              <w:rPr>
                <w:rFonts w:ascii="Times New Roman" w:eastAsia="Times New Roman" w:hAnsi="Times New Roman" w:cs="Times New Roman"/>
                <w:b/>
                <w:bCs/>
                <w:sz w:val="24"/>
                <w:szCs w:val="24"/>
                <w:lang w:eastAsia="en-GB"/>
              </w:rPr>
              <w:t>TOTAL RESEARCH BUDGET</w:t>
            </w:r>
          </w:p>
        </w:tc>
        <w:tc>
          <w:tcPr>
            <w:tcW w:w="0" w:type="auto"/>
            <w:hideMark/>
          </w:tcPr>
          <w:p w:rsidR="004547E1" w:rsidRPr="004547E1" w:rsidRDefault="004547E1" w:rsidP="004547E1">
            <w:pPr>
              <w:rPr>
                <w:rFonts w:ascii="Times New Roman" w:eastAsia="Times New Roman" w:hAnsi="Times New Roman" w:cs="Times New Roman"/>
                <w:sz w:val="24"/>
                <w:szCs w:val="24"/>
                <w:lang w:eastAsia="en-GB"/>
              </w:rPr>
            </w:pPr>
          </w:p>
        </w:tc>
        <w:tc>
          <w:tcPr>
            <w:tcW w:w="0" w:type="auto"/>
            <w:hideMark/>
          </w:tcPr>
          <w:p w:rsidR="004547E1" w:rsidRPr="004547E1" w:rsidRDefault="004547E1" w:rsidP="004547E1">
            <w:pPr>
              <w:jc w:val="right"/>
              <w:rPr>
                <w:rFonts w:ascii="Times New Roman" w:eastAsia="Times New Roman" w:hAnsi="Times New Roman" w:cs="Times New Roman"/>
                <w:sz w:val="20"/>
                <w:szCs w:val="20"/>
                <w:lang w:eastAsia="en-GB"/>
              </w:rPr>
            </w:pPr>
          </w:p>
        </w:tc>
        <w:tc>
          <w:tcPr>
            <w:tcW w:w="0" w:type="auto"/>
            <w:hideMark/>
          </w:tcPr>
          <w:p w:rsidR="004547E1" w:rsidRPr="004547E1" w:rsidRDefault="004547E1" w:rsidP="004547E1">
            <w:pPr>
              <w:jc w:val="right"/>
              <w:rPr>
                <w:rFonts w:ascii="Times New Roman" w:eastAsia="Times New Roman" w:hAnsi="Times New Roman" w:cs="Times New Roman"/>
                <w:sz w:val="20"/>
                <w:szCs w:val="20"/>
                <w:lang w:eastAsia="en-GB"/>
              </w:rPr>
            </w:pP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b/>
                <w:bCs/>
                <w:sz w:val="24"/>
                <w:szCs w:val="24"/>
                <w:lang w:eastAsia="en-GB"/>
              </w:rPr>
              <w:t>972,950</w:t>
            </w:r>
          </w:p>
        </w:tc>
      </w:tr>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r w:rsidRPr="004547E1">
              <w:rPr>
                <w:rFonts w:ascii="Times New Roman" w:eastAsia="Times New Roman" w:hAnsi="Times New Roman" w:cs="Times New Roman"/>
                <w:b/>
                <w:bCs/>
                <w:sz w:val="24"/>
                <w:szCs w:val="24"/>
                <w:lang w:eastAsia="en-GB"/>
              </w:rPr>
              <w:t>UNIMAREC Application Fee</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b/>
                <w:bCs/>
                <w:sz w:val="24"/>
                <w:szCs w:val="24"/>
                <w:lang w:eastAsia="en-GB"/>
              </w:rPr>
              <w:t>261,000 (150 USD)</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sz w:val="24"/>
                <w:szCs w:val="24"/>
                <w:lang w:eastAsia="en-GB"/>
              </w:rPr>
              <w:t>1</w:t>
            </w: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b/>
                <w:bCs/>
                <w:sz w:val="24"/>
                <w:szCs w:val="24"/>
                <w:lang w:eastAsia="en-GB"/>
              </w:rPr>
              <w:t>261,000</w:t>
            </w:r>
          </w:p>
        </w:tc>
      </w:tr>
      <w:tr w:rsidR="004547E1" w:rsidRPr="004547E1" w:rsidTr="004547E1">
        <w:tc>
          <w:tcPr>
            <w:tcW w:w="0" w:type="auto"/>
            <w:hideMark/>
          </w:tcPr>
          <w:p w:rsidR="004547E1" w:rsidRPr="004547E1" w:rsidRDefault="004547E1" w:rsidP="004547E1">
            <w:pPr>
              <w:rPr>
                <w:rFonts w:ascii="Times New Roman" w:eastAsia="Times New Roman" w:hAnsi="Times New Roman" w:cs="Times New Roman"/>
                <w:sz w:val="24"/>
                <w:szCs w:val="24"/>
                <w:lang w:eastAsia="en-GB"/>
              </w:rPr>
            </w:pPr>
            <w:r w:rsidRPr="004547E1">
              <w:rPr>
                <w:rFonts w:ascii="Times New Roman" w:eastAsia="Times New Roman" w:hAnsi="Times New Roman" w:cs="Times New Roman"/>
                <w:b/>
                <w:bCs/>
                <w:sz w:val="24"/>
                <w:szCs w:val="24"/>
                <w:lang w:eastAsia="en-GB"/>
              </w:rPr>
              <w:t>GRAND TOTAL</w:t>
            </w:r>
          </w:p>
        </w:tc>
        <w:tc>
          <w:tcPr>
            <w:tcW w:w="0" w:type="auto"/>
            <w:hideMark/>
          </w:tcPr>
          <w:p w:rsidR="004547E1" w:rsidRPr="004547E1" w:rsidRDefault="004547E1" w:rsidP="004547E1">
            <w:pPr>
              <w:rPr>
                <w:rFonts w:ascii="Times New Roman" w:eastAsia="Times New Roman" w:hAnsi="Times New Roman" w:cs="Times New Roman"/>
                <w:sz w:val="24"/>
                <w:szCs w:val="24"/>
                <w:lang w:eastAsia="en-GB"/>
              </w:rPr>
            </w:pPr>
          </w:p>
        </w:tc>
        <w:tc>
          <w:tcPr>
            <w:tcW w:w="0" w:type="auto"/>
            <w:hideMark/>
          </w:tcPr>
          <w:p w:rsidR="004547E1" w:rsidRPr="004547E1" w:rsidRDefault="004547E1" w:rsidP="004547E1">
            <w:pPr>
              <w:jc w:val="right"/>
              <w:rPr>
                <w:rFonts w:ascii="Times New Roman" w:eastAsia="Times New Roman" w:hAnsi="Times New Roman" w:cs="Times New Roman"/>
                <w:sz w:val="20"/>
                <w:szCs w:val="20"/>
                <w:lang w:eastAsia="en-GB"/>
              </w:rPr>
            </w:pPr>
          </w:p>
        </w:tc>
        <w:tc>
          <w:tcPr>
            <w:tcW w:w="0" w:type="auto"/>
            <w:hideMark/>
          </w:tcPr>
          <w:p w:rsidR="004547E1" w:rsidRPr="004547E1" w:rsidRDefault="004547E1" w:rsidP="004547E1">
            <w:pPr>
              <w:jc w:val="right"/>
              <w:rPr>
                <w:rFonts w:ascii="Times New Roman" w:eastAsia="Times New Roman" w:hAnsi="Times New Roman" w:cs="Times New Roman"/>
                <w:sz w:val="20"/>
                <w:szCs w:val="20"/>
                <w:lang w:eastAsia="en-GB"/>
              </w:rPr>
            </w:pPr>
          </w:p>
        </w:tc>
        <w:tc>
          <w:tcPr>
            <w:tcW w:w="0" w:type="auto"/>
            <w:hideMark/>
          </w:tcPr>
          <w:p w:rsidR="004547E1" w:rsidRPr="004547E1" w:rsidRDefault="004547E1" w:rsidP="004547E1">
            <w:pPr>
              <w:jc w:val="right"/>
              <w:rPr>
                <w:rFonts w:ascii="Times New Roman" w:eastAsia="Times New Roman" w:hAnsi="Times New Roman" w:cs="Times New Roman"/>
                <w:sz w:val="24"/>
                <w:szCs w:val="24"/>
                <w:lang w:eastAsia="en-GB"/>
              </w:rPr>
            </w:pPr>
            <w:r w:rsidRPr="004547E1">
              <w:rPr>
                <w:rFonts w:ascii="Times New Roman" w:eastAsia="Times New Roman" w:hAnsi="Times New Roman" w:cs="Times New Roman"/>
                <w:b/>
                <w:bCs/>
                <w:sz w:val="24"/>
                <w:szCs w:val="24"/>
                <w:lang w:eastAsia="en-GB"/>
              </w:rPr>
              <w:t>1,233,950</w:t>
            </w:r>
          </w:p>
        </w:tc>
      </w:tr>
    </w:tbl>
    <w:p w:rsidR="00697BF6" w:rsidRPr="00697BF6" w:rsidRDefault="00697BF6" w:rsidP="00325D25">
      <w:pPr>
        <w:spacing w:line="240" w:lineRule="auto"/>
        <w:rPr>
          <w:rFonts w:ascii="Times New Roman" w:hAnsi="Times New Roman" w:cs="Times New Roman"/>
          <w:sz w:val="24"/>
          <w:szCs w:val="24"/>
        </w:rPr>
      </w:pPr>
    </w:p>
    <w:p w:rsidR="00325D25" w:rsidRPr="00697BF6" w:rsidRDefault="00325D25" w:rsidP="00325D25">
      <w:pPr>
        <w:spacing w:line="240" w:lineRule="auto"/>
        <w:rPr>
          <w:rFonts w:ascii="Times New Roman" w:hAnsi="Times New Roman" w:cs="Times New Roman"/>
          <w:sz w:val="24"/>
          <w:szCs w:val="24"/>
        </w:rPr>
      </w:pPr>
    </w:p>
    <w:p w:rsidR="00325D25" w:rsidRPr="00697BF6" w:rsidRDefault="00325D25" w:rsidP="00325D25">
      <w:pPr>
        <w:spacing w:line="240" w:lineRule="auto"/>
        <w:rPr>
          <w:rFonts w:ascii="Times New Roman" w:hAnsi="Times New Roman" w:cs="Times New Roman"/>
          <w:sz w:val="24"/>
          <w:szCs w:val="24"/>
        </w:rPr>
      </w:pPr>
    </w:p>
    <w:p w:rsidR="00697BF6" w:rsidRDefault="00697BF6" w:rsidP="00325D2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p>
    <w:p w:rsidR="00697BF6" w:rsidRDefault="00697BF6" w:rsidP="00325D2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p>
    <w:p w:rsidR="00697BF6" w:rsidRDefault="00697BF6" w:rsidP="00325D2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p>
    <w:p w:rsidR="00697BF6" w:rsidRDefault="00697BF6" w:rsidP="00325D2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p>
    <w:p w:rsidR="00697BF6" w:rsidRDefault="00697BF6" w:rsidP="00325D2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p>
    <w:p w:rsidR="00697BF6" w:rsidRDefault="00697BF6" w:rsidP="00325D2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p>
    <w:p w:rsidR="00697BF6" w:rsidRDefault="00697BF6" w:rsidP="00325D2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p>
    <w:p w:rsidR="00697BF6" w:rsidRDefault="00697BF6" w:rsidP="000D5E34">
      <w:pPr>
        <w:pStyle w:val="pdq2pgselectionanchorcontainer"/>
        <w:spacing w:before="240" w:beforeAutospacing="0" w:after="0" w:afterAutospacing="0"/>
      </w:pPr>
      <w:r>
        <w:rPr>
          <w:rStyle w:val="Strong"/>
        </w:rPr>
        <w:lastRenderedPageBreak/>
        <w:t>Research Budget Justification</w:t>
      </w:r>
    </w:p>
    <w:p w:rsidR="00697BF6" w:rsidRDefault="00697BF6" w:rsidP="000D5E34">
      <w:pPr>
        <w:pStyle w:val="NormalWeb"/>
        <w:spacing w:before="240" w:beforeAutospacing="0" w:after="0" w:afterAutospacing="0"/>
        <w:ind w:firstLine="720"/>
      </w:pPr>
      <w:r>
        <w:t>The proposed budget is designed to meet the essential requirements for conducting the study ethically, efficiently, and in accordance with University of Malawi research requirements. The costs are directly linked to the planned research activities and reflect the geographical scope of the study, which covers 24 participating schools across 8 districts.</w:t>
      </w:r>
    </w:p>
    <w:p w:rsidR="00697BF6" w:rsidRDefault="00697BF6" w:rsidP="00697BF6">
      <w:pPr>
        <w:pStyle w:val="NormalWeb"/>
        <w:spacing w:before="0" w:beforeAutospacing="0" w:after="0" w:afterAutospacing="0"/>
        <w:ind w:firstLine="720"/>
      </w:pPr>
      <w:r>
        <w:t xml:space="preserve">The </w:t>
      </w:r>
      <w:r w:rsidRPr="00697BF6">
        <w:rPr>
          <w:rStyle w:val="Strong"/>
          <w:b w:val="0"/>
        </w:rPr>
        <w:t>UNIMAREC Application Fee</w:t>
      </w:r>
      <w:r>
        <w:t xml:space="preserve"> is necessary to facilitate the ethical review and approval of the study. In addition, costs associated with printing and photocopying research authorisation documents and consent forms will support the formal process of obtaining access to the selected research sites and ensure that participants are adequately informed and provide voluntary consent before taking part in the study.</w:t>
      </w:r>
    </w:p>
    <w:p w:rsidR="00697BF6" w:rsidRDefault="00697BF6" w:rsidP="00697BF6">
      <w:pPr>
        <w:pStyle w:val="NormalWeb"/>
        <w:spacing w:before="0" w:beforeAutospacing="0" w:after="0" w:afterAutospacing="0"/>
        <w:ind w:firstLine="720"/>
      </w:pPr>
      <w:r>
        <w:t xml:space="preserve">The costs for </w:t>
      </w:r>
      <w:r w:rsidRPr="00697BF6">
        <w:rPr>
          <w:rStyle w:val="Strong"/>
          <w:b w:val="0"/>
        </w:rPr>
        <w:t>questionnaires, interview guides, and stationery</w:t>
      </w:r>
      <w:r w:rsidRPr="00697BF6">
        <w:t xml:space="preserve"> are necessary for the administration of the research instruments and the systematic recording of field information. </w:t>
      </w:r>
      <w:r w:rsidRPr="00697BF6">
        <w:rPr>
          <w:rStyle w:val="Strong"/>
          <w:b w:val="0"/>
        </w:rPr>
        <w:t>Pilot testing of the research instruments</w:t>
      </w:r>
      <w:r w:rsidRPr="00697BF6">
        <w:t xml:space="preserve"> will be undertaken before the main data collection to identify and address potential weaknesses in the instruments. This process will help improve the clarity, suitability, validity, and reliability of the instruments and, consequently, the quality of the data collected.</w:t>
      </w:r>
    </w:p>
    <w:p w:rsidR="000D5E34" w:rsidRDefault="00697BF6" w:rsidP="000D5E34">
      <w:pPr>
        <w:pStyle w:val="NormalWeb"/>
        <w:spacing w:before="0" w:beforeAutospacing="0" w:after="0" w:afterAutospacing="0"/>
        <w:ind w:firstLine="720"/>
      </w:pPr>
      <w:r>
        <w:t xml:space="preserve">The geographical distribution of the participating schools across </w:t>
      </w:r>
      <w:r w:rsidRPr="00697BF6">
        <w:rPr>
          <w:rStyle w:val="Strong"/>
          <w:b w:val="0"/>
        </w:rPr>
        <w:t>8 districts</w:t>
      </w:r>
      <w:r>
        <w:t xml:space="preserve"> necessitates expenditure on </w:t>
      </w:r>
      <w:r w:rsidRPr="00697BF6">
        <w:rPr>
          <w:rStyle w:val="Strong"/>
          <w:b w:val="0"/>
        </w:rPr>
        <w:t>transport and accommodation</w:t>
      </w:r>
      <w:r>
        <w:t xml:space="preserve"> during field data collection. These resources will enable the researcher to access all selected schools and allocate sufficient time to administer questionnaires and conduct interviews. The provision for field-related costs is therefore directly linked to the successful implementation of the study within the planned geographical scope.</w:t>
      </w:r>
    </w:p>
    <w:p w:rsidR="000D5E34" w:rsidRDefault="00697BF6" w:rsidP="000D5E34">
      <w:pPr>
        <w:pStyle w:val="NormalWeb"/>
        <w:spacing w:before="0" w:beforeAutospacing="0" w:after="0" w:afterAutospacing="0"/>
        <w:ind w:firstLine="720"/>
      </w:pPr>
      <w:r>
        <w:t xml:space="preserve">Following data collection, </w:t>
      </w:r>
      <w:r w:rsidRPr="000D5E34">
        <w:rPr>
          <w:rStyle w:val="Strong"/>
          <w:b w:val="0"/>
        </w:rPr>
        <w:t>interview transcription</w:t>
      </w:r>
      <w:r>
        <w:t xml:space="preserve"> will facilitate the accurate conversion of recorded interviews into written data for qualitative analysis. Similarly, </w:t>
      </w:r>
      <w:r w:rsidRPr="000D5E34">
        <w:rPr>
          <w:rStyle w:val="Strong"/>
          <w:b w:val="0"/>
        </w:rPr>
        <w:t>data entry, cleaning, and analysis</w:t>
      </w:r>
      <w:r>
        <w:t xml:space="preserve"> will support the systematic organisation, verification, and analysis of the quantitative data collected through the questionnaires. These activities are essential for ensuring that the collected data are accurately processed and appropriately analysed in relation to the research objectives.</w:t>
      </w:r>
    </w:p>
    <w:p w:rsidR="000D5E34" w:rsidRDefault="00697BF6" w:rsidP="000D5E34">
      <w:pPr>
        <w:pStyle w:val="NormalWeb"/>
        <w:spacing w:before="0" w:beforeAutospacing="0" w:after="0" w:afterAutospacing="0"/>
        <w:ind w:firstLine="720"/>
      </w:pPr>
      <w:r>
        <w:t xml:space="preserve">The costs for </w:t>
      </w:r>
      <w:r w:rsidRPr="000D5E34">
        <w:rPr>
          <w:rStyle w:val="Strong"/>
          <w:b w:val="0"/>
        </w:rPr>
        <w:t>printing and binding the final dissertation</w:t>
      </w:r>
      <w:r>
        <w:t xml:space="preserve"> will support the preparation and submission of the completed research report in accordance with institutional requirements. The </w:t>
      </w:r>
      <w:r w:rsidRPr="000D5E34">
        <w:rPr>
          <w:rStyle w:val="Strong"/>
          <w:b w:val="0"/>
        </w:rPr>
        <w:t>Compliance and Capacity Building Fee</w:t>
      </w:r>
      <w:r>
        <w:t xml:space="preserve"> is included to meet the relevant institutional research requirements associated with the study.</w:t>
      </w:r>
    </w:p>
    <w:p w:rsidR="000D5E34" w:rsidRDefault="00697BF6" w:rsidP="000D5E34">
      <w:pPr>
        <w:pStyle w:val="NormalWeb"/>
        <w:spacing w:before="0" w:beforeAutospacing="0" w:after="0" w:afterAutospacing="0"/>
        <w:ind w:firstLine="720"/>
      </w:pPr>
      <w:r>
        <w:t xml:space="preserve">Finally, the </w:t>
      </w:r>
      <w:r w:rsidRPr="000D5E34">
        <w:rPr>
          <w:rStyle w:val="Strong"/>
          <w:b w:val="0"/>
        </w:rPr>
        <w:t>contingency and miscellaneous provision</w:t>
      </w:r>
      <w:r>
        <w:t xml:space="preserve"> provides limited flexibility to address reasonable and unforeseen expenses that may arise during the research process, particularly during field data collection and reporting.</w:t>
      </w:r>
    </w:p>
    <w:p w:rsidR="00697BF6" w:rsidRDefault="00697BF6" w:rsidP="000D5E34">
      <w:pPr>
        <w:pStyle w:val="NormalWeb"/>
        <w:spacing w:before="0" w:beforeAutospacing="0" w:after="0" w:afterAutospacing="0"/>
        <w:ind w:firstLine="720"/>
      </w:pPr>
      <w:r>
        <w:t>Overall, the proposed budget reflects the resources required to implement the study across the selected research sites, maintain appropriate ethical and methodological standards, process and analyse the collected data, and complete the dissertation in accordance with University of Malawi requirements.</w:t>
      </w:r>
    </w:p>
    <w:p w:rsidR="00325D25" w:rsidRPr="00697BF6" w:rsidRDefault="00325D25" w:rsidP="00697BF6">
      <w:pPr>
        <w:spacing w:after="0" w:line="240" w:lineRule="auto"/>
        <w:outlineLvl w:val="0"/>
        <w:rPr>
          <w:rFonts w:ascii="Times New Roman" w:hAnsi="Times New Roman" w:cs="Times New Roman"/>
          <w:sz w:val="24"/>
          <w:szCs w:val="24"/>
        </w:rPr>
      </w:pPr>
    </w:p>
    <w:p w:rsidR="00697BF6" w:rsidRPr="00697BF6" w:rsidRDefault="00697BF6">
      <w:pPr>
        <w:spacing w:after="0" w:line="240" w:lineRule="auto"/>
        <w:outlineLvl w:val="0"/>
        <w:rPr>
          <w:rFonts w:ascii="Times New Roman" w:hAnsi="Times New Roman" w:cs="Times New Roman"/>
          <w:sz w:val="24"/>
          <w:szCs w:val="24"/>
        </w:rPr>
      </w:pPr>
    </w:p>
    <w:sectPr w:rsidR="00697BF6" w:rsidRPr="00697B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1E7"/>
    <w:rsid w:val="000D5E34"/>
    <w:rsid w:val="002341A0"/>
    <w:rsid w:val="00325D25"/>
    <w:rsid w:val="00402E26"/>
    <w:rsid w:val="004547E1"/>
    <w:rsid w:val="00550CFE"/>
    <w:rsid w:val="005848A9"/>
    <w:rsid w:val="005F71E7"/>
    <w:rsid w:val="00697BF6"/>
    <w:rsid w:val="00B706EA"/>
    <w:rsid w:val="00FD5E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3A08E"/>
  <w15:chartTrackingRefBased/>
  <w15:docId w15:val="{D72F012F-9250-46C4-9638-570736939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25D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71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50CFE"/>
    <w:rPr>
      <w:b/>
      <w:bCs/>
    </w:rPr>
  </w:style>
  <w:style w:type="table" w:styleId="TableGrid">
    <w:name w:val="Table Grid"/>
    <w:basedOn w:val="TableNormal"/>
    <w:uiPriority w:val="39"/>
    <w:rsid w:val="00550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25D25"/>
    <w:rPr>
      <w:rFonts w:ascii="Times New Roman" w:eastAsia="Times New Roman" w:hAnsi="Times New Roman" w:cs="Times New Roman"/>
      <w:b/>
      <w:bCs/>
      <w:kern w:val="36"/>
      <w:sz w:val="48"/>
      <w:szCs w:val="48"/>
      <w:lang w:eastAsia="en-GB"/>
    </w:rPr>
  </w:style>
  <w:style w:type="paragraph" w:customStyle="1" w:styleId="pdq2pgselectionanchorcontainer">
    <w:name w:val="pdq2pg_selectionanchorcontainer"/>
    <w:basedOn w:val="Normal"/>
    <w:rsid w:val="00697BF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30906">
      <w:bodyDiv w:val="1"/>
      <w:marLeft w:val="0"/>
      <w:marRight w:val="0"/>
      <w:marTop w:val="0"/>
      <w:marBottom w:val="0"/>
      <w:divBdr>
        <w:top w:val="none" w:sz="0" w:space="0" w:color="auto"/>
        <w:left w:val="none" w:sz="0" w:space="0" w:color="auto"/>
        <w:bottom w:val="none" w:sz="0" w:space="0" w:color="auto"/>
        <w:right w:val="none" w:sz="0" w:space="0" w:color="auto"/>
      </w:divBdr>
    </w:div>
    <w:div w:id="526143971">
      <w:bodyDiv w:val="1"/>
      <w:marLeft w:val="0"/>
      <w:marRight w:val="0"/>
      <w:marTop w:val="0"/>
      <w:marBottom w:val="0"/>
      <w:divBdr>
        <w:top w:val="none" w:sz="0" w:space="0" w:color="auto"/>
        <w:left w:val="none" w:sz="0" w:space="0" w:color="auto"/>
        <w:bottom w:val="none" w:sz="0" w:space="0" w:color="auto"/>
        <w:right w:val="none" w:sz="0" w:space="0" w:color="auto"/>
      </w:divBdr>
    </w:div>
    <w:div w:id="671688470">
      <w:bodyDiv w:val="1"/>
      <w:marLeft w:val="0"/>
      <w:marRight w:val="0"/>
      <w:marTop w:val="0"/>
      <w:marBottom w:val="0"/>
      <w:divBdr>
        <w:top w:val="none" w:sz="0" w:space="0" w:color="auto"/>
        <w:left w:val="none" w:sz="0" w:space="0" w:color="auto"/>
        <w:bottom w:val="none" w:sz="0" w:space="0" w:color="auto"/>
        <w:right w:val="none" w:sz="0" w:space="0" w:color="auto"/>
      </w:divBdr>
    </w:div>
    <w:div w:id="893195343">
      <w:bodyDiv w:val="1"/>
      <w:marLeft w:val="0"/>
      <w:marRight w:val="0"/>
      <w:marTop w:val="0"/>
      <w:marBottom w:val="0"/>
      <w:divBdr>
        <w:top w:val="none" w:sz="0" w:space="0" w:color="auto"/>
        <w:left w:val="none" w:sz="0" w:space="0" w:color="auto"/>
        <w:bottom w:val="none" w:sz="0" w:space="0" w:color="auto"/>
        <w:right w:val="none" w:sz="0" w:space="0" w:color="auto"/>
      </w:divBdr>
      <w:divsChild>
        <w:div w:id="339091303">
          <w:marLeft w:val="0"/>
          <w:marRight w:val="0"/>
          <w:marTop w:val="0"/>
          <w:marBottom w:val="0"/>
          <w:divBdr>
            <w:top w:val="none" w:sz="0" w:space="0" w:color="auto"/>
            <w:left w:val="none" w:sz="0" w:space="0" w:color="auto"/>
            <w:bottom w:val="none" w:sz="0" w:space="0" w:color="auto"/>
            <w:right w:val="none" w:sz="0" w:space="0" w:color="auto"/>
          </w:divBdr>
          <w:divsChild>
            <w:div w:id="1184251055">
              <w:marLeft w:val="0"/>
              <w:marRight w:val="0"/>
              <w:marTop w:val="0"/>
              <w:marBottom w:val="0"/>
              <w:divBdr>
                <w:top w:val="none" w:sz="0" w:space="0" w:color="auto"/>
                <w:left w:val="none" w:sz="0" w:space="0" w:color="auto"/>
                <w:bottom w:val="none" w:sz="0" w:space="0" w:color="auto"/>
                <w:right w:val="none" w:sz="0" w:space="0" w:color="auto"/>
              </w:divBdr>
              <w:divsChild>
                <w:div w:id="939870522">
                  <w:marLeft w:val="0"/>
                  <w:marRight w:val="0"/>
                  <w:marTop w:val="0"/>
                  <w:marBottom w:val="0"/>
                  <w:divBdr>
                    <w:top w:val="none" w:sz="0" w:space="0" w:color="auto"/>
                    <w:left w:val="none" w:sz="0" w:space="0" w:color="auto"/>
                    <w:bottom w:val="none" w:sz="0" w:space="0" w:color="auto"/>
                    <w:right w:val="none" w:sz="0" w:space="0" w:color="auto"/>
                  </w:divBdr>
                  <w:divsChild>
                    <w:div w:id="380207064">
                      <w:marLeft w:val="0"/>
                      <w:marRight w:val="0"/>
                      <w:marTop w:val="0"/>
                      <w:marBottom w:val="0"/>
                      <w:divBdr>
                        <w:top w:val="none" w:sz="0" w:space="0" w:color="auto"/>
                        <w:left w:val="none" w:sz="0" w:space="0" w:color="auto"/>
                        <w:bottom w:val="none" w:sz="0" w:space="0" w:color="auto"/>
                        <w:right w:val="none" w:sz="0" w:space="0" w:color="auto"/>
                      </w:divBdr>
                      <w:divsChild>
                        <w:div w:id="877355299">
                          <w:marLeft w:val="0"/>
                          <w:marRight w:val="0"/>
                          <w:marTop w:val="0"/>
                          <w:marBottom w:val="0"/>
                          <w:divBdr>
                            <w:top w:val="none" w:sz="0" w:space="0" w:color="auto"/>
                            <w:left w:val="none" w:sz="0" w:space="0" w:color="auto"/>
                            <w:bottom w:val="none" w:sz="0" w:space="0" w:color="auto"/>
                            <w:right w:val="none" w:sz="0" w:space="0" w:color="auto"/>
                          </w:divBdr>
                          <w:divsChild>
                            <w:div w:id="866991233">
                              <w:marLeft w:val="0"/>
                              <w:marRight w:val="0"/>
                              <w:marTop w:val="0"/>
                              <w:marBottom w:val="0"/>
                              <w:divBdr>
                                <w:top w:val="none" w:sz="0" w:space="0" w:color="auto"/>
                                <w:left w:val="none" w:sz="0" w:space="0" w:color="auto"/>
                                <w:bottom w:val="none" w:sz="0" w:space="0" w:color="auto"/>
                                <w:right w:val="none" w:sz="0" w:space="0" w:color="auto"/>
                              </w:divBdr>
                              <w:divsChild>
                                <w:div w:id="621687769">
                                  <w:marLeft w:val="0"/>
                                  <w:marRight w:val="0"/>
                                  <w:marTop w:val="0"/>
                                  <w:marBottom w:val="0"/>
                                  <w:divBdr>
                                    <w:top w:val="none" w:sz="0" w:space="0" w:color="auto"/>
                                    <w:left w:val="none" w:sz="0" w:space="0" w:color="auto"/>
                                    <w:bottom w:val="none" w:sz="0" w:space="0" w:color="auto"/>
                                    <w:right w:val="none" w:sz="0" w:space="0" w:color="auto"/>
                                  </w:divBdr>
                                  <w:divsChild>
                                    <w:div w:id="138976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1061621">
      <w:bodyDiv w:val="1"/>
      <w:marLeft w:val="0"/>
      <w:marRight w:val="0"/>
      <w:marTop w:val="0"/>
      <w:marBottom w:val="0"/>
      <w:divBdr>
        <w:top w:val="none" w:sz="0" w:space="0" w:color="auto"/>
        <w:left w:val="none" w:sz="0" w:space="0" w:color="auto"/>
        <w:bottom w:val="none" w:sz="0" w:space="0" w:color="auto"/>
        <w:right w:val="none" w:sz="0" w:space="0" w:color="auto"/>
      </w:divBdr>
      <w:divsChild>
        <w:div w:id="1308704614">
          <w:marLeft w:val="0"/>
          <w:marRight w:val="0"/>
          <w:marTop w:val="0"/>
          <w:marBottom w:val="0"/>
          <w:divBdr>
            <w:top w:val="none" w:sz="0" w:space="0" w:color="auto"/>
            <w:left w:val="none" w:sz="0" w:space="0" w:color="auto"/>
            <w:bottom w:val="none" w:sz="0" w:space="0" w:color="auto"/>
            <w:right w:val="none" w:sz="0" w:space="0" w:color="auto"/>
          </w:divBdr>
          <w:divsChild>
            <w:div w:id="1446076021">
              <w:marLeft w:val="0"/>
              <w:marRight w:val="0"/>
              <w:marTop w:val="0"/>
              <w:marBottom w:val="0"/>
              <w:divBdr>
                <w:top w:val="none" w:sz="0" w:space="0" w:color="auto"/>
                <w:left w:val="none" w:sz="0" w:space="0" w:color="auto"/>
                <w:bottom w:val="none" w:sz="0" w:space="0" w:color="auto"/>
                <w:right w:val="none" w:sz="0" w:space="0" w:color="auto"/>
              </w:divBdr>
              <w:divsChild>
                <w:div w:id="1817336140">
                  <w:marLeft w:val="0"/>
                  <w:marRight w:val="0"/>
                  <w:marTop w:val="0"/>
                  <w:marBottom w:val="0"/>
                  <w:divBdr>
                    <w:top w:val="none" w:sz="0" w:space="0" w:color="auto"/>
                    <w:left w:val="none" w:sz="0" w:space="0" w:color="auto"/>
                    <w:bottom w:val="none" w:sz="0" w:space="0" w:color="auto"/>
                    <w:right w:val="none" w:sz="0" w:space="0" w:color="auto"/>
                  </w:divBdr>
                  <w:divsChild>
                    <w:div w:id="1405881825">
                      <w:marLeft w:val="0"/>
                      <w:marRight w:val="0"/>
                      <w:marTop w:val="0"/>
                      <w:marBottom w:val="0"/>
                      <w:divBdr>
                        <w:top w:val="none" w:sz="0" w:space="0" w:color="auto"/>
                        <w:left w:val="none" w:sz="0" w:space="0" w:color="auto"/>
                        <w:bottom w:val="none" w:sz="0" w:space="0" w:color="auto"/>
                        <w:right w:val="none" w:sz="0" w:space="0" w:color="auto"/>
                      </w:divBdr>
                      <w:divsChild>
                        <w:div w:id="153377020">
                          <w:marLeft w:val="0"/>
                          <w:marRight w:val="0"/>
                          <w:marTop w:val="0"/>
                          <w:marBottom w:val="0"/>
                          <w:divBdr>
                            <w:top w:val="none" w:sz="0" w:space="0" w:color="auto"/>
                            <w:left w:val="none" w:sz="0" w:space="0" w:color="auto"/>
                            <w:bottom w:val="none" w:sz="0" w:space="0" w:color="auto"/>
                            <w:right w:val="none" w:sz="0" w:space="0" w:color="auto"/>
                          </w:divBdr>
                          <w:divsChild>
                            <w:div w:id="903025819">
                              <w:marLeft w:val="0"/>
                              <w:marRight w:val="0"/>
                              <w:marTop w:val="0"/>
                              <w:marBottom w:val="0"/>
                              <w:divBdr>
                                <w:top w:val="none" w:sz="0" w:space="0" w:color="auto"/>
                                <w:left w:val="none" w:sz="0" w:space="0" w:color="auto"/>
                                <w:bottom w:val="none" w:sz="0" w:space="0" w:color="auto"/>
                                <w:right w:val="none" w:sz="0" w:space="0" w:color="auto"/>
                              </w:divBdr>
                              <w:divsChild>
                                <w:div w:id="62875410">
                                  <w:marLeft w:val="0"/>
                                  <w:marRight w:val="0"/>
                                  <w:marTop w:val="0"/>
                                  <w:marBottom w:val="0"/>
                                  <w:divBdr>
                                    <w:top w:val="none" w:sz="0" w:space="0" w:color="auto"/>
                                    <w:left w:val="none" w:sz="0" w:space="0" w:color="auto"/>
                                    <w:bottom w:val="none" w:sz="0" w:space="0" w:color="auto"/>
                                    <w:right w:val="none" w:sz="0" w:space="0" w:color="auto"/>
                                  </w:divBdr>
                                  <w:divsChild>
                                    <w:div w:id="54703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7662982">
      <w:bodyDiv w:val="1"/>
      <w:marLeft w:val="0"/>
      <w:marRight w:val="0"/>
      <w:marTop w:val="0"/>
      <w:marBottom w:val="0"/>
      <w:divBdr>
        <w:top w:val="none" w:sz="0" w:space="0" w:color="auto"/>
        <w:left w:val="none" w:sz="0" w:space="0" w:color="auto"/>
        <w:bottom w:val="none" w:sz="0" w:space="0" w:color="auto"/>
        <w:right w:val="none" w:sz="0" w:space="0" w:color="auto"/>
      </w:divBdr>
    </w:div>
    <w:div w:id="1141776460">
      <w:bodyDiv w:val="1"/>
      <w:marLeft w:val="0"/>
      <w:marRight w:val="0"/>
      <w:marTop w:val="0"/>
      <w:marBottom w:val="0"/>
      <w:divBdr>
        <w:top w:val="none" w:sz="0" w:space="0" w:color="auto"/>
        <w:left w:val="none" w:sz="0" w:space="0" w:color="auto"/>
        <w:bottom w:val="none" w:sz="0" w:space="0" w:color="auto"/>
        <w:right w:val="none" w:sz="0" w:space="0" w:color="auto"/>
      </w:divBdr>
    </w:div>
    <w:div w:id="1195773710">
      <w:bodyDiv w:val="1"/>
      <w:marLeft w:val="0"/>
      <w:marRight w:val="0"/>
      <w:marTop w:val="0"/>
      <w:marBottom w:val="0"/>
      <w:divBdr>
        <w:top w:val="none" w:sz="0" w:space="0" w:color="auto"/>
        <w:left w:val="none" w:sz="0" w:space="0" w:color="auto"/>
        <w:bottom w:val="none" w:sz="0" w:space="0" w:color="auto"/>
        <w:right w:val="none" w:sz="0" w:space="0" w:color="auto"/>
      </w:divBdr>
    </w:div>
    <w:div w:id="1411973721">
      <w:bodyDiv w:val="1"/>
      <w:marLeft w:val="0"/>
      <w:marRight w:val="0"/>
      <w:marTop w:val="0"/>
      <w:marBottom w:val="0"/>
      <w:divBdr>
        <w:top w:val="none" w:sz="0" w:space="0" w:color="auto"/>
        <w:left w:val="none" w:sz="0" w:space="0" w:color="auto"/>
        <w:bottom w:val="none" w:sz="0" w:space="0" w:color="auto"/>
        <w:right w:val="none" w:sz="0" w:space="0" w:color="auto"/>
      </w:divBdr>
    </w:div>
    <w:div w:id="1487210240">
      <w:bodyDiv w:val="1"/>
      <w:marLeft w:val="0"/>
      <w:marRight w:val="0"/>
      <w:marTop w:val="0"/>
      <w:marBottom w:val="0"/>
      <w:divBdr>
        <w:top w:val="none" w:sz="0" w:space="0" w:color="auto"/>
        <w:left w:val="none" w:sz="0" w:space="0" w:color="auto"/>
        <w:bottom w:val="none" w:sz="0" w:space="0" w:color="auto"/>
        <w:right w:val="none" w:sz="0" w:space="0" w:color="auto"/>
      </w:divBdr>
    </w:div>
    <w:div w:id="1631398664">
      <w:bodyDiv w:val="1"/>
      <w:marLeft w:val="0"/>
      <w:marRight w:val="0"/>
      <w:marTop w:val="0"/>
      <w:marBottom w:val="0"/>
      <w:divBdr>
        <w:top w:val="none" w:sz="0" w:space="0" w:color="auto"/>
        <w:left w:val="none" w:sz="0" w:space="0" w:color="auto"/>
        <w:bottom w:val="none" w:sz="0" w:space="0" w:color="auto"/>
        <w:right w:val="none" w:sz="0" w:space="0" w:color="auto"/>
      </w:divBdr>
    </w:div>
    <w:div w:id="193385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2</Pages>
  <Words>618</Words>
  <Characters>3529</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
      <vt:lpstr/>
      <vt:lpstr/>
      <vt:lpstr/>
      <vt:lpstr/>
      <vt:lpstr/>
      <vt:lpstr/>
      <vt: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Taliona Somanje</dc:creator>
  <cp:keywords/>
  <dc:description/>
  <cp:lastModifiedBy>Jane Taliona Somanje</cp:lastModifiedBy>
  <cp:revision>4</cp:revision>
  <dcterms:created xsi:type="dcterms:W3CDTF">2026-08-17T09:58:00Z</dcterms:created>
  <dcterms:modified xsi:type="dcterms:W3CDTF">2026-08-17T12:59:00Z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9362a654-fdf1-41a8-8624-73e0f8da0365</vt:lpwstr>
  </property>
</Properties>
</file>