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ED7D" w14:textId="77777777" w:rsidR="00C2649A" w:rsidRPr="00C6101E" w:rsidRDefault="00735359">
      <w:pPr>
        <w:pStyle w:val="Style9"/>
        <w:rPr>
          <w:color w:val="000000" w:themeColor="text1"/>
        </w:rPr>
      </w:pPr>
      <w:r w:rsidRPr="00C6101E">
        <w:rPr>
          <w:color w:val="000000" w:themeColor="text1"/>
        </w:rPr>
        <w:t>窗体顶端</w:t>
      </w:r>
    </w:p>
    <w:p w14:paraId="3562B910" w14:textId="599E0C7D" w:rsidR="00C2649A" w:rsidRPr="00C6101E" w:rsidRDefault="00735359" w:rsidP="007E2034">
      <w:pPr>
        <w:pStyle w:val="Heading1"/>
        <w:jc w:val="center"/>
        <w:rPr>
          <w:color w:val="000000" w:themeColor="text1"/>
          <w:sz w:val="24"/>
        </w:rPr>
      </w:pPr>
      <w:r w:rsidRPr="00C6101E">
        <w:rPr>
          <w:color w:val="000000" w:themeColor="text1"/>
          <w:sz w:val="24"/>
        </w:rPr>
        <w:t>Ministerial Retirement under the New covenant: An exegetical and Theological Evaluation of Numbers 8:23-26 and its Relevance to Pastoral Retirement in Malawi Assemblies of God church</w:t>
      </w:r>
    </w:p>
    <w:p w14:paraId="32505724" w14:textId="22EC7EB1" w:rsidR="00C2649A" w:rsidRPr="00C6101E" w:rsidRDefault="00735359" w:rsidP="00317981">
      <w:pPr>
        <w:pStyle w:val="Heading1"/>
        <w:jc w:val="center"/>
        <w:rPr>
          <w:b w:val="0"/>
          <w:color w:val="000000" w:themeColor="text1"/>
          <w:sz w:val="24"/>
        </w:rPr>
      </w:pPr>
      <w:r w:rsidRPr="00C6101E">
        <w:rPr>
          <w:b w:val="0"/>
          <w:color w:val="000000" w:themeColor="text1"/>
          <w:sz w:val="24"/>
        </w:rPr>
        <w:t>By</w:t>
      </w:r>
    </w:p>
    <w:p w14:paraId="1B0FABCB" w14:textId="65C50F36" w:rsidR="00C2649A" w:rsidRPr="00C6101E" w:rsidRDefault="00735359" w:rsidP="00317981">
      <w:pPr>
        <w:pStyle w:val="Heading1"/>
        <w:jc w:val="center"/>
        <w:rPr>
          <w:b w:val="0"/>
          <w:color w:val="000000" w:themeColor="text1"/>
          <w:sz w:val="24"/>
        </w:rPr>
      </w:pPr>
      <w:proofErr w:type="spellStart"/>
      <w:r w:rsidRPr="00C6101E">
        <w:rPr>
          <w:b w:val="0"/>
          <w:color w:val="000000" w:themeColor="text1"/>
          <w:sz w:val="24"/>
        </w:rPr>
        <w:t>Geofrey</w:t>
      </w:r>
      <w:proofErr w:type="spellEnd"/>
      <w:r w:rsidRPr="00C6101E">
        <w:rPr>
          <w:b w:val="0"/>
          <w:color w:val="000000" w:themeColor="text1"/>
          <w:sz w:val="24"/>
        </w:rPr>
        <w:t xml:space="preserve"> </w:t>
      </w:r>
      <w:proofErr w:type="spellStart"/>
      <w:r w:rsidRPr="00C6101E">
        <w:rPr>
          <w:b w:val="0"/>
          <w:color w:val="000000" w:themeColor="text1"/>
          <w:sz w:val="24"/>
        </w:rPr>
        <w:t>Tamayenda</w:t>
      </w:r>
      <w:proofErr w:type="spellEnd"/>
      <w:r w:rsidRPr="00C6101E">
        <w:rPr>
          <w:b w:val="0"/>
          <w:color w:val="000000" w:themeColor="text1"/>
          <w:sz w:val="24"/>
        </w:rPr>
        <w:t>.</w:t>
      </w:r>
    </w:p>
    <w:p w14:paraId="23798099" w14:textId="07473C43" w:rsidR="00317981" w:rsidRPr="00C6101E" w:rsidRDefault="00735359" w:rsidP="00317981">
      <w:pPr>
        <w:pStyle w:val="Heading1"/>
        <w:jc w:val="center"/>
        <w:rPr>
          <w:b w:val="0"/>
          <w:color w:val="000000" w:themeColor="text1"/>
          <w:sz w:val="24"/>
        </w:rPr>
      </w:pPr>
      <w:r w:rsidRPr="00C6101E">
        <w:rPr>
          <w:b w:val="0"/>
          <w:color w:val="000000" w:themeColor="text1"/>
          <w:sz w:val="24"/>
        </w:rPr>
        <w:t>21010100329.</w:t>
      </w:r>
    </w:p>
    <w:p w14:paraId="551E0C85" w14:textId="77777777" w:rsidR="00C2649A" w:rsidRPr="00C6101E" w:rsidRDefault="00735359">
      <w:pPr>
        <w:pStyle w:val="Heading1"/>
        <w:jc w:val="center"/>
        <w:rPr>
          <w:b w:val="0"/>
          <w:color w:val="000000" w:themeColor="text1"/>
          <w:sz w:val="24"/>
        </w:rPr>
      </w:pPr>
      <w:r w:rsidRPr="00C6101E">
        <w:rPr>
          <w:b w:val="0"/>
          <w:color w:val="000000" w:themeColor="text1"/>
          <w:sz w:val="24"/>
        </w:rPr>
        <w:t>Malawi Assemblies of God University</w:t>
      </w:r>
    </w:p>
    <w:p w14:paraId="4B752053" w14:textId="77777777" w:rsidR="00C2649A" w:rsidRPr="00C6101E" w:rsidRDefault="00C2649A" w:rsidP="007E2034">
      <w:pPr>
        <w:pStyle w:val="Heading1"/>
        <w:rPr>
          <w:b w:val="0"/>
          <w:color w:val="000000" w:themeColor="text1"/>
          <w:sz w:val="24"/>
        </w:rPr>
      </w:pPr>
    </w:p>
    <w:p w14:paraId="1C1A286D" w14:textId="52DF7F2D" w:rsidR="00C2649A" w:rsidRPr="00C6101E" w:rsidRDefault="00735359" w:rsidP="00317981">
      <w:pPr>
        <w:pStyle w:val="Heading1"/>
        <w:jc w:val="center"/>
        <w:rPr>
          <w:b w:val="0"/>
          <w:color w:val="000000" w:themeColor="text1"/>
          <w:sz w:val="24"/>
        </w:rPr>
      </w:pPr>
      <w:r w:rsidRPr="00C6101E">
        <w:rPr>
          <w:b w:val="0"/>
          <w:color w:val="000000" w:themeColor="text1"/>
          <w:sz w:val="24"/>
        </w:rPr>
        <w:t>Thesis</w:t>
      </w:r>
    </w:p>
    <w:p w14:paraId="328DA53B" w14:textId="77777777" w:rsidR="00C2649A" w:rsidRPr="00C6101E" w:rsidRDefault="00735359">
      <w:pPr>
        <w:pStyle w:val="Heading1"/>
        <w:jc w:val="center"/>
        <w:rPr>
          <w:b w:val="0"/>
          <w:color w:val="000000" w:themeColor="text1"/>
          <w:sz w:val="24"/>
        </w:rPr>
      </w:pPr>
      <w:r w:rsidRPr="00C6101E">
        <w:rPr>
          <w:b w:val="0"/>
          <w:color w:val="000000" w:themeColor="text1"/>
          <w:sz w:val="24"/>
        </w:rPr>
        <w:t xml:space="preserve">Submitted to Rev. Dr </w:t>
      </w:r>
      <w:proofErr w:type="spellStart"/>
      <w:r w:rsidRPr="00C6101E">
        <w:rPr>
          <w:b w:val="0"/>
          <w:color w:val="000000" w:themeColor="text1"/>
          <w:sz w:val="24"/>
        </w:rPr>
        <w:t>Chipao</w:t>
      </w:r>
      <w:proofErr w:type="spellEnd"/>
      <w:r w:rsidRPr="00C6101E">
        <w:rPr>
          <w:b w:val="0"/>
          <w:color w:val="000000" w:themeColor="text1"/>
          <w:sz w:val="24"/>
        </w:rPr>
        <w:t>.</w:t>
      </w:r>
    </w:p>
    <w:p w14:paraId="0740C062" w14:textId="77777777" w:rsidR="00C2649A" w:rsidRPr="00C6101E" w:rsidRDefault="00C2649A" w:rsidP="007E2034">
      <w:pPr>
        <w:pStyle w:val="Heading1"/>
        <w:rPr>
          <w:b w:val="0"/>
          <w:color w:val="000000" w:themeColor="text1"/>
          <w:sz w:val="24"/>
        </w:rPr>
      </w:pPr>
    </w:p>
    <w:p w14:paraId="5A212F84" w14:textId="77777777" w:rsidR="00C2649A" w:rsidRPr="00C6101E" w:rsidRDefault="00735359">
      <w:pPr>
        <w:pStyle w:val="Heading1"/>
        <w:jc w:val="center"/>
        <w:rPr>
          <w:b w:val="0"/>
          <w:color w:val="000000" w:themeColor="text1"/>
          <w:sz w:val="24"/>
        </w:rPr>
      </w:pPr>
      <w:r w:rsidRPr="00C6101E">
        <w:rPr>
          <w:b w:val="0"/>
          <w:color w:val="000000" w:themeColor="text1"/>
          <w:sz w:val="24"/>
        </w:rPr>
        <w:t xml:space="preserve">In Partial </w:t>
      </w:r>
      <w:proofErr w:type="spellStart"/>
      <w:r w:rsidRPr="00C6101E">
        <w:rPr>
          <w:b w:val="0"/>
          <w:color w:val="000000" w:themeColor="text1"/>
          <w:sz w:val="24"/>
        </w:rPr>
        <w:t>Fulfillment</w:t>
      </w:r>
      <w:proofErr w:type="spellEnd"/>
      <w:r w:rsidRPr="00C6101E">
        <w:rPr>
          <w:b w:val="0"/>
          <w:color w:val="000000" w:themeColor="text1"/>
          <w:sz w:val="24"/>
        </w:rPr>
        <w:t xml:space="preserve"> of the Requirements for</w:t>
      </w:r>
    </w:p>
    <w:p w14:paraId="2253856E" w14:textId="77777777" w:rsidR="00C2649A" w:rsidRPr="00C6101E" w:rsidRDefault="00C2649A" w:rsidP="00317981">
      <w:pPr>
        <w:pStyle w:val="Heading1"/>
        <w:rPr>
          <w:b w:val="0"/>
          <w:color w:val="000000" w:themeColor="text1"/>
          <w:sz w:val="24"/>
        </w:rPr>
      </w:pPr>
    </w:p>
    <w:p w14:paraId="01B38112" w14:textId="631EBAF6" w:rsidR="00C2649A" w:rsidRPr="00C6101E" w:rsidRDefault="00735359" w:rsidP="00317981">
      <w:pPr>
        <w:pStyle w:val="Heading1"/>
        <w:jc w:val="center"/>
        <w:rPr>
          <w:b w:val="0"/>
          <w:color w:val="000000" w:themeColor="text1"/>
          <w:sz w:val="24"/>
        </w:rPr>
      </w:pPr>
      <w:r w:rsidRPr="00C6101E">
        <w:rPr>
          <w:b w:val="0"/>
          <w:color w:val="000000" w:themeColor="text1"/>
          <w:sz w:val="24"/>
        </w:rPr>
        <w:t>RES 4034</w:t>
      </w:r>
    </w:p>
    <w:p w14:paraId="5E6B2EB5" w14:textId="77777777" w:rsidR="00C2649A" w:rsidRPr="00C6101E" w:rsidRDefault="00735359">
      <w:pPr>
        <w:pStyle w:val="Heading1"/>
        <w:jc w:val="center"/>
        <w:rPr>
          <w:b w:val="0"/>
          <w:color w:val="000000" w:themeColor="text1"/>
          <w:sz w:val="24"/>
        </w:rPr>
      </w:pPr>
      <w:r w:rsidRPr="00C6101E">
        <w:rPr>
          <w:b w:val="0"/>
          <w:color w:val="000000" w:themeColor="text1"/>
          <w:sz w:val="24"/>
        </w:rPr>
        <w:t>Research Methodology.</w:t>
      </w:r>
    </w:p>
    <w:p w14:paraId="6C963C06" w14:textId="77777777" w:rsidR="00C2649A" w:rsidRPr="00C6101E" w:rsidRDefault="00C2649A" w:rsidP="00317981">
      <w:pPr>
        <w:pStyle w:val="Heading1"/>
        <w:rPr>
          <w:b w:val="0"/>
          <w:color w:val="000000" w:themeColor="text1"/>
          <w:sz w:val="24"/>
        </w:rPr>
      </w:pPr>
    </w:p>
    <w:p w14:paraId="5A89A066" w14:textId="77777777" w:rsidR="00C2649A" w:rsidRPr="00C6101E" w:rsidRDefault="00735359">
      <w:pPr>
        <w:pStyle w:val="Heading1"/>
        <w:jc w:val="center"/>
        <w:rPr>
          <w:b w:val="0"/>
          <w:color w:val="000000" w:themeColor="text1"/>
          <w:sz w:val="24"/>
        </w:rPr>
      </w:pPr>
      <w:r w:rsidRPr="00C6101E">
        <w:rPr>
          <w:b w:val="0"/>
          <w:color w:val="000000" w:themeColor="text1"/>
          <w:sz w:val="24"/>
        </w:rPr>
        <w:t>December – 2022</w:t>
      </w:r>
    </w:p>
    <w:p w14:paraId="6CDB4A62" w14:textId="77777777" w:rsidR="00C2649A" w:rsidRDefault="00C2649A">
      <w:pPr>
        <w:pStyle w:val="Heading1"/>
        <w:jc w:val="center"/>
        <w:rPr>
          <w:b w:val="0"/>
        </w:rPr>
      </w:pPr>
    </w:p>
    <w:p w14:paraId="33C18FEF" w14:textId="77777777" w:rsidR="00C2649A" w:rsidRDefault="00C2649A">
      <w:pPr>
        <w:pStyle w:val="Heading1"/>
        <w:jc w:val="center"/>
        <w:rPr>
          <w:b w:val="0"/>
        </w:rPr>
      </w:pPr>
    </w:p>
    <w:p w14:paraId="23BB80BE" w14:textId="77777777" w:rsidR="00C2649A" w:rsidRPr="00696B71" w:rsidRDefault="00735359">
      <w:pPr>
        <w:pStyle w:val="Heading1"/>
        <w:jc w:val="center"/>
        <w:rPr>
          <w:color w:val="000000" w:themeColor="text1"/>
        </w:rPr>
      </w:pPr>
      <w:r w:rsidRPr="00696B71">
        <w:rPr>
          <w:color w:val="000000" w:themeColor="text1"/>
        </w:rPr>
        <w:lastRenderedPageBreak/>
        <w:t xml:space="preserve">CHAPTER </w:t>
      </w:r>
      <w:r w:rsidRPr="00696B71">
        <w:rPr>
          <w:color w:val="000000" w:themeColor="text1"/>
          <w:lang w:val="en-US"/>
        </w:rPr>
        <w:t xml:space="preserve"> </w:t>
      </w:r>
      <w:r w:rsidRPr="00696B71">
        <w:rPr>
          <w:color w:val="000000" w:themeColor="text1"/>
        </w:rPr>
        <w:t>ONE</w:t>
      </w:r>
    </w:p>
    <w:p w14:paraId="6B46C659" w14:textId="77777777" w:rsidR="00C2649A" w:rsidRDefault="00C2649A">
      <w:pPr>
        <w:pStyle w:val="Heading1"/>
        <w:jc w:val="center"/>
      </w:pPr>
    </w:p>
    <w:p w14:paraId="15342F8F" w14:textId="77777777" w:rsidR="00C2649A" w:rsidRPr="00696B71" w:rsidRDefault="00735359">
      <w:pPr>
        <w:pStyle w:val="Heading2"/>
        <w:jc w:val="both"/>
        <w:rPr>
          <w:color w:val="000000" w:themeColor="text1"/>
        </w:rPr>
      </w:pPr>
      <w:r w:rsidRPr="00696B71">
        <w:rPr>
          <w:color w:val="000000" w:themeColor="text1"/>
        </w:rPr>
        <w:t>INTRODUCTION</w:t>
      </w:r>
    </w:p>
    <w:p w14:paraId="0E1131BB" w14:textId="77777777" w:rsidR="00C2649A" w:rsidRPr="00696B71" w:rsidRDefault="00735359">
      <w:pPr>
        <w:pStyle w:val="Heading3"/>
        <w:jc w:val="both"/>
        <w:rPr>
          <w:color w:val="000000" w:themeColor="text1"/>
        </w:rPr>
      </w:pPr>
      <w:r w:rsidRPr="00696B71">
        <w:rPr>
          <w:color w:val="000000" w:themeColor="text1"/>
        </w:rPr>
        <w:t>1.1 Introduction</w:t>
      </w:r>
    </w:p>
    <w:p w14:paraId="44AD8FED" w14:textId="77777777" w:rsidR="00C2649A" w:rsidRDefault="00735359">
      <w:pPr>
        <w:pStyle w:val="NormalWeb"/>
        <w:jc w:val="both"/>
      </w:pPr>
      <w:r>
        <w:t xml:space="preserve">The question of ministerial retirement has become increasingly significant within contemporary Christian ministry as churches seek to balance biblical principles with </w:t>
      </w:r>
      <w:proofErr w:type="spellStart"/>
      <w:r>
        <w:t>organisational</w:t>
      </w:r>
      <w:proofErr w:type="spellEnd"/>
      <w:r>
        <w:t xml:space="preserve"> governance. While many Christian denominations prescribe mandatory retirement ages for pastors and church leaders through ecclesiastical constitutions and policy documents, there remains considerable debate concerning whether such regulations are explicitly supported by Scripture or are merely administrative provisions designed to facilitate effective leadership transition. This issue becomes particularly important where church constitutions appear to adopt retirement policies that differ fro</w:t>
      </w:r>
      <w:r>
        <w:t>m biblical regulations governing ministry under the Mosaic Covenant.</w:t>
      </w:r>
    </w:p>
    <w:p w14:paraId="51774B64" w14:textId="77777777" w:rsidR="00C2649A" w:rsidRDefault="00735359">
      <w:pPr>
        <w:pStyle w:val="NormalWeb"/>
        <w:jc w:val="both"/>
      </w:pPr>
      <w:r>
        <w:t>One example of this tension is found within the Malawi Assemblies of God Church (MAG), whose Constitution provides that ordained ministers ordinarily retire from active pastoral service at the age of eighty.</w:t>
      </w:r>
      <w:r>
        <w:t>[</w:t>
      </w:r>
      <w:r>
        <w:t>1</w:t>
      </w:r>
      <w:r>
        <w:t>]</w:t>
      </w:r>
      <w:r>
        <w:t xml:space="preserve"> In contrast, Numbers 8:23–26 records that Levites appointed for service in the tabernacle were required to retire from their regular duties at the age of fifty, after which they were permitted only to assist the younger Levites rather than perform the full responsibilities of sanctuary service.</w:t>
      </w:r>
      <w:r>
        <w:t>[</w:t>
      </w:r>
      <w:r>
        <w:t>2</w:t>
      </w:r>
      <w:r>
        <w:t>]</w:t>
      </w:r>
      <w:r>
        <w:t xml:space="preserve"> The apparent disparity between these two retirement ages raises important theological and hermeneutical questions regarding the relationship between Old Testament regulations and New Testament pastoral ministr</w:t>
      </w:r>
      <w:r>
        <w:t>y.</w:t>
      </w:r>
    </w:p>
    <w:p w14:paraId="6894226D" w14:textId="77777777" w:rsidR="00C2649A" w:rsidRDefault="00C2649A">
      <w:pPr>
        <w:pStyle w:val="NormalWeb"/>
        <w:jc w:val="both"/>
      </w:pPr>
    </w:p>
    <w:p w14:paraId="15F9AD68" w14:textId="77777777" w:rsidR="00C2649A" w:rsidRDefault="00735359">
      <w:pPr>
        <w:pStyle w:val="NormalWeb"/>
        <w:jc w:val="both"/>
      </w:pPr>
      <w:r>
        <w:t>The issue extends beyond a simple comparison of numerical ages. Rather, it concerns the broader question of whether the Levitical legislation governing ministerial service continues to possess normative authority for Christian pastors under the New Covenant. Throughout church history, various Christian traditions have drawn parallels between Old Testament priests or Levites and modern clergy, particularly in discussions concerning ministerial support, sacred service, and church leadership.</w:t>
      </w:r>
      <w:r>
        <w:t>[</w:t>
      </w:r>
      <w:r>
        <w:t>3</w:t>
      </w:r>
      <w:r>
        <w:t>]</w:t>
      </w:r>
      <w:r>
        <w:t xml:space="preserve"> However, the New Testament consistently presents pastoral ministry within a different covenantal framework, describing pastors, elders, and overseers as servants of Christ rather than successors to the Levitical priesthood.</w:t>
      </w:r>
      <w:r>
        <w:t>[</w:t>
      </w:r>
      <w:r>
        <w:t>4</w:t>
      </w:r>
      <w:r>
        <w:t>]</w:t>
      </w:r>
      <w:r>
        <w:t xml:space="preserve"> Consequently, any attempt to apply Levitical retirement regulations to contemporary pastoral ministry requires careful exegetical and theological examination.</w:t>
      </w:r>
    </w:p>
    <w:p w14:paraId="267E2149" w14:textId="77777777" w:rsidR="00C2649A" w:rsidRDefault="00C2649A">
      <w:pPr>
        <w:pStyle w:val="NormalWeb"/>
        <w:jc w:val="both"/>
      </w:pPr>
    </w:p>
    <w:p w14:paraId="4FCFB154" w14:textId="77777777" w:rsidR="00C2649A" w:rsidRDefault="00735359">
      <w:pPr>
        <w:pStyle w:val="NormalWeb"/>
        <w:jc w:val="both"/>
      </w:pPr>
      <w:r>
        <w:t>The Epistle to the Hebrews provides an essential theological foundation for addressing this question. Hebrews 7:11–16 argues that the coming of Christ as High Priest according to the order of Melchizedek brought about a change in the priesthood, which necessarily resulted in a change of the law governing priestly ministry.</w:t>
      </w:r>
      <w:r>
        <w:t>[</w:t>
      </w:r>
      <w:r>
        <w:t>5</w:t>
      </w:r>
      <w:r>
        <w:t>]</w:t>
      </w:r>
      <w:r>
        <w:t xml:space="preserve"> This passage suggests that the legal framework regulating the Levitical priesthood cannot </w:t>
      </w:r>
      <w:r>
        <w:lastRenderedPageBreak/>
        <w:t xml:space="preserve">automatically be transferred into the New Covenant without careful consideration of its fulfilment in Christ. </w:t>
      </w:r>
    </w:p>
    <w:p w14:paraId="6DD2CC1D" w14:textId="77777777" w:rsidR="00C2649A" w:rsidRDefault="00C2649A">
      <w:pPr>
        <w:pStyle w:val="NormalWeb"/>
        <w:jc w:val="both"/>
      </w:pPr>
    </w:p>
    <w:p w14:paraId="4AED6441" w14:textId="77777777" w:rsidR="00C2649A" w:rsidRDefault="00735359">
      <w:pPr>
        <w:pStyle w:val="NormalWeb"/>
        <w:jc w:val="both"/>
      </w:pPr>
      <w:r>
        <w:t>The present study therefore investigates whether Numbers 8:23–26 establishes a timeless principle governing Christian pastoral retirement or whether the retirement regulation was limited to the Levitical ministry under the Mosaic Covenant. By employing grammatical-historical exegesis together with biblical-theological analysis, this research evaluates the original context, purpose, and duration of the Levitical retirement legislation before examining its relevance for contemporary pastoral ministry. Particu</w:t>
      </w:r>
      <w:r>
        <w:t>lar attention is given to the theological implications of the transition from the Old Covenant priesthood to New Covenant ministry.</w:t>
      </w:r>
    </w:p>
    <w:p w14:paraId="102BE4DD" w14:textId="77777777" w:rsidR="00C2649A" w:rsidRDefault="00C2649A">
      <w:pPr>
        <w:pStyle w:val="NormalWeb"/>
        <w:jc w:val="both"/>
      </w:pPr>
    </w:p>
    <w:p w14:paraId="7EF79E31" w14:textId="77777777" w:rsidR="00C2649A" w:rsidRDefault="00735359">
      <w:pPr>
        <w:pStyle w:val="NormalWeb"/>
        <w:jc w:val="both"/>
      </w:pPr>
      <w:r>
        <w:t xml:space="preserve">Furthermore, this study considers the practical implications of these findings for the Malawi Assemblies of God Church. As one of the largest Pentecostal denominations in Malawi, the church has developed constitutional provisions regulating ministerial retirement in order to promote orderly leadership succession and organizational stability. Nevertheless, where ecclesiastical policies intersect with biblical interpretation, it becomes necessary to determine whether such policies derive from direct biblical </w:t>
      </w:r>
      <w:r>
        <w:t>command, theological principle, or administrative wisdom. Distinguishing these categories is essential for ensuring that church practice remains both biblically faithful and ecclesiastically responsible.</w:t>
      </w:r>
      <w:r>
        <w:t>[</w:t>
      </w:r>
      <w:r>
        <w:t>7</w:t>
      </w:r>
      <w:r>
        <w:t xml:space="preserve">] </w:t>
      </w:r>
    </w:p>
    <w:p w14:paraId="7C7CA892" w14:textId="77777777" w:rsidR="00C2649A" w:rsidRDefault="00C2649A">
      <w:pPr>
        <w:pStyle w:val="NormalWeb"/>
        <w:jc w:val="both"/>
      </w:pPr>
    </w:p>
    <w:p w14:paraId="555BE319" w14:textId="77777777" w:rsidR="00C2649A" w:rsidRDefault="00735359">
      <w:pPr>
        <w:pStyle w:val="NormalWeb"/>
        <w:jc w:val="both"/>
      </w:pPr>
      <w:r>
        <w:t>This research does not seek merely to challenge existing denominational policies but rather to provide an exegetically grounded and theologically coherent evaluation of ministerial retirement under the New Covenant. By examining Numbers 8:23–26 within its canonical and covenantal context and comparing its provisions with New Testament teaching concerning pastoral ministry, the study seeks to contribute to a more biblically informed understanding of ministerial retirement. Ultimately, the research aims to as</w:t>
      </w:r>
      <w:r>
        <w:t xml:space="preserve">sist church leaders, theologians, and denominational policymakers in distinguishing between divine prescription and ecclesiastical administration, thereby strengthening the biblical foundation of ministerial practice within the Malawi Assemblies of God Church and the wider Christian community. </w:t>
      </w:r>
    </w:p>
    <w:p w14:paraId="41240BE0" w14:textId="77777777" w:rsidR="00C2649A" w:rsidRDefault="007E2034">
      <w:pPr>
        <w:jc w:val="both"/>
      </w:pPr>
      <w:r>
        <w:rPr>
          <w:noProof/>
        </w:rPr>
      </w:r>
      <w:r w:rsidR="007E2034">
        <w:rPr>
          <w:noProof/>
        </w:rPr>
        <w:pict>
          <v:rect id="_x0000_i1025" style="width:6in;height:1.5pt" o:hralign="center" o:hrstd="t" o:hr="t" fillcolor="#a0a0a0" stroked="f"/>
        </w:pict>
      </w:r>
    </w:p>
    <w:p w14:paraId="1EE86964" w14:textId="77777777" w:rsidR="00C2649A" w:rsidRPr="00E171EC" w:rsidRDefault="00735359">
      <w:pPr>
        <w:pStyle w:val="Heading3"/>
        <w:jc w:val="both"/>
        <w:rPr>
          <w:color w:val="000000" w:themeColor="text1"/>
        </w:rPr>
      </w:pPr>
      <w:r w:rsidRPr="00E171EC">
        <w:rPr>
          <w:color w:val="000000" w:themeColor="text1"/>
        </w:rPr>
        <w:t>Footnotes</w:t>
      </w:r>
    </w:p>
    <w:p w14:paraId="551FF313" w14:textId="77777777" w:rsidR="00C2649A" w:rsidRDefault="00735359">
      <w:pPr>
        <w:numPr>
          <w:ilvl w:val="0"/>
          <w:numId w:val="1"/>
        </w:numPr>
        <w:spacing w:beforeAutospacing="1" w:afterAutospacing="1"/>
        <w:jc w:val="both"/>
      </w:pPr>
      <w:r>
        <w:t xml:space="preserve">Malawi Assemblies of God Church, </w:t>
      </w:r>
      <w:r>
        <w:rPr>
          <w:rStyle w:val="Emphasis"/>
        </w:rPr>
        <w:t>Constitution of the Malawi Assemblies of God Church</w:t>
      </w:r>
      <w:r>
        <w:t xml:space="preserve"> (Lilongwe: Malawi Assemblies of God Church, current edition), Article on Ministerial Retirement. </w:t>
      </w:r>
    </w:p>
    <w:p w14:paraId="45BD0043" w14:textId="77777777" w:rsidR="00C2649A" w:rsidRDefault="00735359">
      <w:pPr>
        <w:numPr>
          <w:ilvl w:val="0"/>
          <w:numId w:val="1"/>
        </w:numPr>
        <w:spacing w:beforeAutospacing="1" w:afterAutospacing="1"/>
        <w:jc w:val="both"/>
      </w:pPr>
      <w:r>
        <w:t xml:space="preserve">The Holy Bible, New International Version (Grand Rapids, MI: Zondervan, 2011), Numbers 8:23–26. </w:t>
      </w:r>
    </w:p>
    <w:p w14:paraId="7EBFD471" w14:textId="77777777" w:rsidR="00C2649A" w:rsidRDefault="00735359">
      <w:pPr>
        <w:numPr>
          <w:ilvl w:val="0"/>
          <w:numId w:val="1"/>
        </w:numPr>
        <w:spacing w:beforeAutospacing="1" w:afterAutospacing="1"/>
        <w:jc w:val="both"/>
      </w:pPr>
      <w:r>
        <w:t xml:space="preserve">David L. Baker, </w:t>
      </w:r>
      <w:r>
        <w:rPr>
          <w:rStyle w:val="Emphasis"/>
        </w:rPr>
        <w:t>Two Testaments, One Bible: A Study of Some Modern Solutions to the Theological Problem of the Relationship Between the Old and New Testaments</w:t>
      </w:r>
      <w:r>
        <w:t xml:space="preserve">, 3rd ed. (Downers Grove, IL: IVP Academic, 2010), 35–61. </w:t>
      </w:r>
    </w:p>
    <w:p w14:paraId="2045E58B" w14:textId="77777777" w:rsidR="00C2649A" w:rsidRDefault="00735359">
      <w:pPr>
        <w:numPr>
          <w:ilvl w:val="0"/>
          <w:numId w:val="1"/>
        </w:numPr>
        <w:spacing w:beforeAutospacing="1" w:afterAutospacing="1"/>
        <w:jc w:val="both"/>
      </w:pPr>
      <w:r>
        <w:lastRenderedPageBreak/>
        <w:t xml:space="preserve">Thomas R. Schreiner, </w:t>
      </w:r>
      <w:r>
        <w:rPr>
          <w:rStyle w:val="Emphasis"/>
        </w:rPr>
        <w:t>40 Questions About Christians and Biblical Law</w:t>
      </w:r>
      <w:r>
        <w:t xml:space="preserve"> (Grand Rapids, MI: </w:t>
      </w:r>
      <w:proofErr w:type="spellStart"/>
      <w:r>
        <w:t>Kregel</w:t>
      </w:r>
      <w:proofErr w:type="spellEnd"/>
      <w:r>
        <w:t xml:space="preserve"> Academic, 2010), 159–183. </w:t>
      </w:r>
    </w:p>
    <w:p w14:paraId="3483CDF4" w14:textId="77777777" w:rsidR="00C2649A" w:rsidRDefault="00735359">
      <w:pPr>
        <w:numPr>
          <w:ilvl w:val="0"/>
          <w:numId w:val="1"/>
        </w:numPr>
        <w:spacing w:beforeAutospacing="1" w:afterAutospacing="1"/>
        <w:jc w:val="both"/>
      </w:pPr>
      <w:r>
        <w:t xml:space="preserve">William L. Lane, </w:t>
      </w:r>
      <w:r>
        <w:rPr>
          <w:rStyle w:val="Emphasis"/>
        </w:rPr>
        <w:t>Hebrews 1–8</w:t>
      </w:r>
      <w:r>
        <w:t xml:space="preserve">, Word Biblical Commentary, Vol. 47A (Dallas, TX: Word Books, 1991), 177–184. </w:t>
      </w:r>
    </w:p>
    <w:p w14:paraId="3F80D5EB" w14:textId="77777777" w:rsidR="00C2649A" w:rsidRDefault="00735359">
      <w:pPr>
        <w:numPr>
          <w:ilvl w:val="0"/>
          <w:numId w:val="1"/>
        </w:numPr>
        <w:spacing w:beforeAutospacing="1" w:afterAutospacing="1"/>
        <w:jc w:val="both"/>
      </w:pPr>
      <w:r>
        <w:t xml:space="preserve">Karen H. </w:t>
      </w:r>
      <w:proofErr w:type="spellStart"/>
      <w:r>
        <w:t>Jobes</w:t>
      </w:r>
      <w:proofErr w:type="spellEnd"/>
      <w:r>
        <w:t xml:space="preserve">, </w:t>
      </w:r>
      <w:r>
        <w:rPr>
          <w:rStyle w:val="Emphasis"/>
        </w:rPr>
        <w:t>1 Peter</w:t>
      </w:r>
      <w:r>
        <w:t xml:space="preserve">, Baker Exegetical Commentary on the New Testament (Grand Rapids, MI: Baker Academic, 2005), 154–162. </w:t>
      </w:r>
    </w:p>
    <w:p w14:paraId="4C9B6EC3" w14:textId="77777777" w:rsidR="00C2649A" w:rsidRDefault="00735359">
      <w:pPr>
        <w:numPr>
          <w:ilvl w:val="0"/>
          <w:numId w:val="1"/>
        </w:numPr>
        <w:spacing w:beforeAutospacing="1" w:afterAutospacing="1"/>
        <w:jc w:val="both"/>
      </w:pPr>
      <w:r>
        <w:t xml:space="preserve">Wayne </w:t>
      </w:r>
      <w:proofErr w:type="spellStart"/>
      <w:r>
        <w:t>Grudem</w:t>
      </w:r>
      <w:proofErr w:type="spellEnd"/>
      <w:r>
        <w:t xml:space="preserve">, </w:t>
      </w:r>
      <w:r>
        <w:rPr>
          <w:rStyle w:val="Emphasis"/>
        </w:rPr>
        <w:t>Systematic Theology: An Introduction to Biblical Doctrine</w:t>
      </w:r>
      <w:r>
        <w:t xml:space="preserve">, 2nd ed. (Grand Rapids, MI: Zondervan Academic, 2020), 1079–1088. </w:t>
      </w:r>
    </w:p>
    <w:p w14:paraId="593C3D54" w14:textId="77777777" w:rsidR="00C2649A" w:rsidRDefault="00C2649A">
      <w:pPr>
        <w:pStyle w:val="Heading2"/>
        <w:jc w:val="both"/>
      </w:pPr>
    </w:p>
    <w:p w14:paraId="7709AACF" w14:textId="77777777" w:rsidR="00C2649A" w:rsidRPr="00E171EC" w:rsidRDefault="00735359">
      <w:pPr>
        <w:pStyle w:val="Heading2"/>
        <w:jc w:val="both"/>
        <w:rPr>
          <w:color w:val="000000" w:themeColor="text1"/>
        </w:rPr>
      </w:pPr>
      <w:r w:rsidRPr="00E171EC">
        <w:rPr>
          <w:color w:val="000000" w:themeColor="text1"/>
        </w:rPr>
        <w:t>1.2 Study Background</w:t>
      </w:r>
    </w:p>
    <w:p w14:paraId="48EACB99" w14:textId="77777777" w:rsidR="00C2649A" w:rsidRDefault="00735359">
      <w:pPr>
        <w:pStyle w:val="NormalWeb"/>
        <w:jc w:val="both"/>
      </w:pPr>
      <w:r>
        <w:t>Across many Christian traditions, retirement policies for pastors have largely developed through denominational constitutions and administrative regulations rather than through explicit biblical exegesis. Consequently, churches often prescribe mandatory retirement ages for ministers without first examining whether Scripture establishes such requirements under the New Covenant.[1] This has resulted in varying retirement policies among Christian denominations, with some requiring retirement at sixty-five, oth</w:t>
      </w:r>
      <w:r>
        <w:t>ers at seventy or seventy-five, and still others allowing ministers to continue serving as long as they remain physically, mentally, and spiritually capable.</w:t>
      </w:r>
    </w:p>
    <w:p w14:paraId="729184EB" w14:textId="77777777" w:rsidR="00C2649A" w:rsidRDefault="00C2649A">
      <w:pPr>
        <w:pStyle w:val="NormalWeb"/>
        <w:jc w:val="both"/>
      </w:pPr>
    </w:p>
    <w:p w14:paraId="53A5317E" w14:textId="77777777" w:rsidR="00C2649A" w:rsidRDefault="00735359">
      <w:pPr>
        <w:pStyle w:val="NormalWeb"/>
        <w:jc w:val="both"/>
      </w:pPr>
      <w:r>
        <w:t xml:space="preserve">The earliest biblical legislation concerning ministerial retirement appears in Numbers 8:23–26, where God instructed Moses that Levites were to begin their tabernacle service at the age of twenty-five and retire from regular service at the age of fifty.[2] After reaching fifty years of age, they were not completely excluded from ministry but were permitted to assist their fellow Levites while no longer bearing the primary responsibilities associated with the sanctuary.[3] This regulation formed part of the </w:t>
      </w:r>
      <w:r>
        <w:t>broader Mosaic legislation governing the Levitical institution and was closely connected to the demanding physical responsibilities involved in transporting, maintaining, and serving the tabernacle during Israel's wilderness journey.[4] The legislation therefore functioned within a specific covenantal, historical, and religious context that differed significantly from later forms of ministry.</w:t>
      </w:r>
    </w:p>
    <w:p w14:paraId="03688DDD" w14:textId="77777777" w:rsidR="00C2649A" w:rsidRDefault="00C2649A">
      <w:pPr>
        <w:pStyle w:val="NormalWeb"/>
        <w:jc w:val="both"/>
      </w:pPr>
    </w:p>
    <w:p w14:paraId="5D16F7A7" w14:textId="77777777" w:rsidR="00C2649A" w:rsidRDefault="00735359">
      <w:pPr>
        <w:pStyle w:val="NormalWeb"/>
        <w:jc w:val="both"/>
      </w:pPr>
      <w:r>
        <w:t>The Old Testament clearly distinguishes between Levites and priests, although both belonged to the tribe of Levi. The priests descended specifically from Aaron and were responsible for offering sacrifices and performing priestly rituals within the sanctuary, whereas the remaining Levites assisted the priests through various duties related to the maintenance, transportation, protection, and administration of the tabernacle.[5] Consequently, the retirement legislation recorded in Numbers 8 addresses Levitical</w:t>
      </w:r>
      <w:r>
        <w:t xml:space="preserve"> service rather than the Aaronic priesthood in general. Understanding this distinction is essential because any contemporary application of Numbers 8:23–26 must first establish whether New Testament pastors correspond more closely to Old Testament Levites, Aaronic priests, or neither.</w:t>
      </w:r>
    </w:p>
    <w:p w14:paraId="5527AD7D" w14:textId="77777777" w:rsidR="00C2649A" w:rsidRDefault="00C2649A">
      <w:pPr>
        <w:pStyle w:val="NormalWeb"/>
        <w:jc w:val="both"/>
      </w:pPr>
    </w:p>
    <w:p w14:paraId="6E377CDC" w14:textId="77777777" w:rsidR="00C2649A" w:rsidRDefault="00735359">
      <w:pPr>
        <w:pStyle w:val="NormalWeb"/>
        <w:jc w:val="both"/>
      </w:pPr>
      <w:r>
        <w:lastRenderedPageBreak/>
        <w:t>Throughout Israel's history, the Levitical ministry remained inseparably connected to the Mosaic Covenant. The tribe of Levi received no territorial inheritance because the Lord Himself was their inheritance, and their ministry depended upon the sacrificial system, ceremonial worship, and temple administration established through the Law of Moses.[6] Their responsibilities, qualifications, and regulations—including retirement—were covenantal obligations rather than universal principles for all religious lea</w:t>
      </w:r>
      <w:r>
        <w:t>dership. Thus, the retirement age of fifty cannot be understood independently of the covenantal system in which it functioned.</w:t>
      </w:r>
    </w:p>
    <w:p w14:paraId="61BDE5B4" w14:textId="77777777" w:rsidR="00C2649A" w:rsidRDefault="00C2649A">
      <w:pPr>
        <w:pStyle w:val="NormalWeb"/>
        <w:jc w:val="both"/>
      </w:pPr>
    </w:p>
    <w:p w14:paraId="4D2205E1" w14:textId="77777777" w:rsidR="00C2649A" w:rsidRDefault="00735359">
      <w:pPr>
        <w:pStyle w:val="NormalWeb"/>
        <w:jc w:val="both"/>
      </w:pPr>
      <w:r>
        <w:t>A significant theological transition occurred with the coming of Jesus Christ. The New Testament presents Christ as the fulfillment of the Mosaic Law and as the eternal High Priest according to the order of Melchizedek rather than according to the order of Aaron.[7] The Epistle to the Hebrews argues that the change of priesthood necessarily involved a change in the legal framework governing priestly ministry (Heb. 7:11–12).[8] This assertion has profound implications for understanding the continuing relevan</w:t>
      </w:r>
      <w:r>
        <w:t>ce of Old Testament ministerial regulations. If the Levitical priesthood reached its fulfillment in Christ, then regulations governing Levitical service—including retirement—must be re-evaluated within the framework of the New Covenant rather than assumed to continue unchanged.</w:t>
      </w:r>
    </w:p>
    <w:p w14:paraId="2D485A43" w14:textId="77777777" w:rsidR="00C2649A" w:rsidRDefault="00C2649A">
      <w:pPr>
        <w:pStyle w:val="NormalWeb"/>
        <w:jc w:val="both"/>
      </w:pPr>
    </w:p>
    <w:p w14:paraId="4BBB87CB" w14:textId="77777777" w:rsidR="00C2649A" w:rsidRDefault="00735359">
      <w:pPr>
        <w:pStyle w:val="NormalWeb"/>
        <w:jc w:val="both"/>
      </w:pPr>
      <w:r>
        <w:t>Unlike the Old Testament, the New Testament nowhere prescribes a mandatory retirement age for pastors, elders, bishops, or overseers. Instead, leadership qualifications emphasize spiritual maturity, moral integrity, doctrinal soundness, and the ability to shepherd God's people.[9] Paul's qualifications for overseers in 1 Timothy 3:1–7 and Titus 1:5–9 make no reference to chronological age as a determining factor for either entering or leaving ministry. Likewise, examples from the apostolic church indicate t</w:t>
      </w:r>
      <w:r>
        <w:t>hat Christian leaders often continued ministering into advanced age. The Apostle John is traditionally understood to have exercised pastoral and theological leadership well into old age, while the Apostle Paul anticipated continuing his ministry until the completion of his earthly race rather than until reaching a prescribed retirement age (2 Tim. 4:6–8).[10] Although these examples do not prohibit retirement, they suggest that New Testament ministry operates according to principles different from those gov</w:t>
      </w:r>
      <w:r>
        <w:t>erning the Levitical institution.</w:t>
      </w:r>
    </w:p>
    <w:p w14:paraId="74554D36" w14:textId="77777777" w:rsidR="00C2649A" w:rsidRDefault="00C2649A">
      <w:pPr>
        <w:pStyle w:val="NormalWeb"/>
        <w:jc w:val="both"/>
      </w:pPr>
    </w:p>
    <w:p w14:paraId="078001FD" w14:textId="77777777" w:rsidR="00C2649A" w:rsidRDefault="00735359">
      <w:pPr>
        <w:pStyle w:val="NormalWeb"/>
        <w:jc w:val="both"/>
      </w:pPr>
      <w:r>
        <w:t>Historically, the early church likewise did not establish a universal retirement age for ministers. Church leadership generally continued as long as individuals remained capable of fulfilling their pastoral responsibilities. Over subsequent centuries, however, ecclesiastical structures became increasingly institutionalized, leading many denominations to introduce retirement policies for practical reasons such as leadership succession, financial planning, pension administration, and organizational stability.</w:t>
      </w:r>
      <w:r>
        <w:t>[11] These developments were largely administrative rather than exegetical and therefore reflected the evolving needs of church governance rather than direct biblical mandates.</w:t>
      </w:r>
    </w:p>
    <w:p w14:paraId="54D8F3A4" w14:textId="77777777" w:rsidR="00C2649A" w:rsidRDefault="00C2649A">
      <w:pPr>
        <w:pStyle w:val="NormalWeb"/>
        <w:jc w:val="both"/>
      </w:pPr>
    </w:p>
    <w:p w14:paraId="2207C547" w14:textId="77777777" w:rsidR="00C2649A" w:rsidRDefault="00735359">
      <w:pPr>
        <w:pStyle w:val="NormalWeb"/>
        <w:jc w:val="both"/>
        <w:rPr>
          <w:color w:val="000000" w:themeColor="text1"/>
          <w:highlight w:val="cyan"/>
        </w:rPr>
      </w:pPr>
      <w:r>
        <w:t>Within contemporary Pentecostalism, retirement policies vary considerably. Some Pentecostal denominations require compulsory retirement at a specified age while permitting extensions under exceptional circumstances. Others distinguish between retirement from administrative office and retirement from ministerial calling, recognizing that the pastoral vocation may continue through preaching, mentoring, teaching, or missionary service even after formal retirement.[12] These differing practices demonstrate that</w:t>
      </w:r>
      <w:r>
        <w:t xml:space="preserve"> there is no universally accepted biblical interpretation regarding ministerial retirement.</w:t>
      </w:r>
    </w:p>
    <w:p w14:paraId="1F280172" w14:textId="77777777" w:rsidR="00C2649A" w:rsidRDefault="007E2034">
      <w:pPr>
        <w:jc w:val="both"/>
      </w:pPr>
      <w:r>
        <w:rPr>
          <w:noProof/>
        </w:rPr>
      </w:r>
      <w:r w:rsidR="007E2034">
        <w:rPr>
          <w:noProof/>
        </w:rPr>
        <w:pict>
          <v:rect id="_x0000_i1026" style="width:6in;height:1.5pt" o:hralign="center" o:hrstd="t" o:hr="t" fillcolor="#a0a0a0" stroked="f"/>
        </w:pict>
      </w:r>
    </w:p>
    <w:p w14:paraId="5CCC4549" w14:textId="77777777" w:rsidR="00C2649A" w:rsidRPr="00E171EC" w:rsidRDefault="00735359">
      <w:pPr>
        <w:pStyle w:val="Heading2"/>
        <w:jc w:val="both"/>
        <w:rPr>
          <w:color w:val="000000" w:themeColor="text1"/>
        </w:rPr>
      </w:pPr>
      <w:r w:rsidRPr="00E171EC">
        <w:rPr>
          <w:color w:val="000000" w:themeColor="text1"/>
        </w:rPr>
        <w:t>Footnotes</w:t>
      </w:r>
    </w:p>
    <w:p w14:paraId="238AD751" w14:textId="77777777" w:rsidR="00C2649A" w:rsidRDefault="00735359">
      <w:pPr>
        <w:pStyle w:val="NormalWeb"/>
        <w:jc w:val="both"/>
      </w:pPr>
      <w:r>
        <w:t xml:space="preserve">[1] John S. Hammett, </w:t>
      </w:r>
      <w:r>
        <w:rPr>
          <w:rStyle w:val="Emphasis"/>
        </w:rPr>
        <w:t>Biblical Foundations for Baptist Churches: A Contemporary Ecclesiology</w:t>
      </w:r>
      <w:r>
        <w:t xml:space="preserve">, 2nd ed. (Grand Rapids, MI: </w:t>
      </w:r>
      <w:proofErr w:type="spellStart"/>
      <w:r>
        <w:t>Kregel</w:t>
      </w:r>
      <w:proofErr w:type="spellEnd"/>
      <w:r>
        <w:t xml:space="preserve"> Academic, 2019), 229–241.</w:t>
      </w:r>
    </w:p>
    <w:p w14:paraId="2072F114" w14:textId="77777777" w:rsidR="00C2649A" w:rsidRDefault="00735359">
      <w:pPr>
        <w:pStyle w:val="NormalWeb"/>
        <w:jc w:val="both"/>
      </w:pPr>
      <w:r>
        <w:t>[2] The Holy Bible, New International Version (Grand Rapids, MI: Zondervan, 2011), Numbers 8:23–26.</w:t>
      </w:r>
    </w:p>
    <w:p w14:paraId="74975E02" w14:textId="77777777" w:rsidR="00C2649A" w:rsidRDefault="00735359">
      <w:pPr>
        <w:pStyle w:val="NormalWeb"/>
        <w:jc w:val="both"/>
      </w:pPr>
      <w:r>
        <w:t xml:space="preserve">[3] Gordon J. Wenham, </w:t>
      </w:r>
      <w:r>
        <w:rPr>
          <w:rStyle w:val="Emphasis"/>
        </w:rPr>
        <w:t>Numbers: An Introduction and Commentary</w:t>
      </w:r>
      <w:r>
        <w:t xml:space="preserve"> (Downers Grove, IL: IVP Academic, 2008), 104–107.</w:t>
      </w:r>
    </w:p>
    <w:p w14:paraId="6DFE7972" w14:textId="77777777" w:rsidR="00C2649A" w:rsidRDefault="00735359">
      <w:pPr>
        <w:pStyle w:val="NormalWeb"/>
        <w:jc w:val="both"/>
      </w:pPr>
      <w:r>
        <w:t xml:space="preserve">[4] Timothy R. Ashley, </w:t>
      </w:r>
      <w:r>
        <w:rPr>
          <w:rStyle w:val="Emphasis"/>
        </w:rPr>
        <w:t>The Book of Numbers</w:t>
      </w:r>
      <w:r>
        <w:t>, New International Commentary on the Old Testament (Grand Rapids, MI: Eerdmans, 1993), 165–170.</w:t>
      </w:r>
    </w:p>
    <w:p w14:paraId="5685FAE1" w14:textId="77777777" w:rsidR="00C2649A" w:rsidRDefault="00735359">
      <w:pPr>
        <w:pStyle w:val="NormalWeb"/>
        <w:jc w:val="both"/>
      </w:pPr>
      <w:r>
        <w:t xml:space="preserve">[5] Jacob </w:t>
      </w:r>
      <w:proofErr w:type="spellStart"/>
      <w:r>
        <w:t>Milgrom</w:t>
      </w:r>
      <w:proofErr w:type="spellEnd"/>
      <w:r>
        <w:t xml:space="preserve">, </w:t>
      </w:r>
      <w:r>
        <w:rPr>
          <w:rStyle w:val="Emphasis"/>
        </w:rPr>
        <w:t>Numbers</w:t>
      </w:r>
      <w:r>
        <w:t>, The JPS Torah Commentary (Philadelphia: Jewish Publication Society, 1990), 67–71.</w:t>
      </w:r>
    </w:p>
    <w:p w14:paraId="6CF67C4D" w14:textId="77777777" w:rsidR="00C2649A" w:rsidRDefault="00735359">
      <w:pPr>
        <w:pStyle w:val="NormalWeb"/>
        <w:jc w:val="both"/>
      </w:pPr>
      <w:r>
        <w:t xml:space="preserve">[6] Roy </w:t>
      </w:r>
      <w:proofErr w:type="spellStart"/>
      <w:r>
        <w:t>Gane</w:t>
      </w:r>
      <w:proofErr w:type="spellEnd"/>
      <w:r>
        <w:t xml:space="preserve">, </w:t>
      </w:r>
      <w:r>
        <w:rPr>
          <w:rStyle w:val="Emphasis"/>
        </w:rPr>
        <w:t>Leviticus, Numbers</w:t>
      </w:r>
      <w:r>
        <w:t>, NIV Application Commentary (Grand Rapids, MI: Zondervan, 2004), 557–563.</w:t>
      </w:r>
    </w:p>
    <w:p w14:paraId="470B8BC3" w14:textId="77777777" w:rsidR="00C2649A" w:rsidRDefault="00735359">
      <w:pPr>
        <w:pStyle w:val="NormalWeb"/>
        <w:jc w:val="both"/>
      </w:pPr>
      <w:r>
        <w:t xml:space="preserve">[7] Thomas R. Schreiner, </w:t>
      </w:r>
      <w:r>
        <w:rPr>
          <w:rStyle w:val="Emphasis"/>
        </w:rPr>
        <w:t>The King in His Beauty: A Biblical Theology of the Old and New Testaments</w:t>
      </w:r>
      <w:r>
        <w:t xml:space="preserve"> (Grand Rapids, MI: Baker Academic, 2013), 607–616.</w:t>
      </w:r>
    </w:p>
    <w:p w14:paraId="20FD7FFF" w14:textId="77777777" w:rsidR="00C2649A" w:rsidRDefault="00735359">
      <w:pPr>
        <w:pStyle w:val="NormalWeb"/>
        <w:jc w:val="both"/>
      </w:pPr>
      <w:r>
        <w:t xml:space="preserve">[8] William L. Lane, </w:t>
      </w:r>
      <w:r>
        <w:rPr>
          <w:rStyle w:val="Emphasis"/>
        </w:rPr>
        <w:t>Hebrews 1–8</w:t>
      </w:r>
      <w:r>
        <w:t>, Word Biblical Commentary, Vol. 47A (Dallas, TX: Word Books, 1991), 177–184.</w:t>
      </w:r>
    </w:p>
    <w:p w14:paraId="38243068" w14:textId="77777777" w:rsidR="00C2649A" w:rsidRDefault="00735359">
      <w:pPr>
        <w:pStyle w:val="NormalWeb"/>
        <w:jc w:val="both"/>
      </w:pPr>
      <w:r>
        <w:t xml:space="preserve">[9] Andreas J. </w:t>
      </w:r>
      <w:proofErr w:type="spellStart"/>
      <w:r>
        <w:t>Köstenberger</w:t>
      </w:r>
      <w:proofErr w:type="spellEnd"/>
      <w:r>
        <w:t xml:space="preserve"> and Thomas R. Schreiner, eds., </w:t>
      </w:r>
      <w:r>
        <w:rPr>
          <w:rStyle w:val="Emphasis"/>
        </w:rPr>
        <w:t>Women in the Church: An Interpretation and Application of 1 Timothy 2:9–15</w:t>
      </w:r>
      <w:r>
        <w:t>, 3rd ed. (Wheaton, IL: Crossway, 2016), discussion of pastoral qualifications; see also 1 Timothy 3:1–7 and Titus 1:5–9.</w:t>
      </w:r>
    </w:p>
    <w:p w14:paraId="5F61C64B" w14:textId="77777777" w:rsidR="00C2649A" w:rsidRDefault="00735359">
      <w:pPr>
        <w:pStyle w:val="NormalWeb"/>
        <w:jc w:val="both"/>
      </w:pPr>
      <w:r>
        <w:t xml:space="preserve">[10] George W. Knight III, </w:t>
      </w:r>
      <w:r>
        <w:rPr>
          <w:rStyle w:val="Emphasis"/>
        </w:rPr>
        <w:t>The Pastoral Epistles</w:t>
      </w:r>
      <w:r>
        <w:t>, New International Greek Testament Commentary (Grand Rapids, MI: Eerdmans, 1992), 454–462.</w:t>
      </w:r>
    </w:p>
    <w:p w14:paraId="45011425" w14:textId="77777777" w:rsidR="00C2649A" w:rsidRDefault="00735359">
      <w:pPr>
        <w:pStyle w:val="NormalWeb"/>
        <w:jc w:val="both"/>
      </w:pPr>
      <w:r>
        <w:t xml:space="preserve">[11] Gregg R. Allison, </w:t>
      </w:r>
      <w:r>
        <w:rPr>
          <w:rStyle w:val="Emphasis"/>
        </w:rPr>
        <w:t>Sojourners and Strangers: The Doctrine of the Church</w:t>
      </w:r>
      <w:r>
        <w:t xml:space="preserve"> (Wheaton, IL: Crossway, 2012), 353–366.</w:t>
      </w:r>
    </w:p>
    <w:p w14:paraId="556EB4AB" w14:textId="77777777" w:rsidR="00C2649A" w:rsidRDefault="00735359">
      <w:pPr>
        <w:pStyle w:val="NormalWeb"/>
        <w:jc w:val="both"/>
      </w:pPr>
      <w:r>
        <w:lastRenderedPageBreak/>
        <w:t xml:space="preserve">[12] Stanley M. Horton, ed., </w:t>
      </w:r>
      <w:r>
        <w:rPr>
          <w:rStyle w:val="Emphasis"/>
        </w:rPr>
        <w:t>Systematic Theology: Revised Edition</w:t>
      </w:r>
      <w:r>
        <w:t xml:space="preserve"> (Springfield, MO: Gospel Publishing House, 2011), 567–580.</w:t>
      </w:r>
    </w:p>
    <w:p w14:paraId="1315ED2C" w14:textId="77777777" w:rsidR="00C2649A" w:rsidRDefault="00C2649A">
      <w:pPr>
        <w:pStyle w:val="NormalWeb"/>
        <w:jc w:val="both"/>
      </w:pPr>
    </w:p>
    <w:p w14:paraId="4B387DC9" w14:textId="77777777" w:rsidR="00C2649A" w:rsidRDefault="00C2649A">
      <w:pPr>
        <w:pStyle w:val="NormalWeb"/>
        <w:jc w:val="both"/>
      </w:pPr>
    </w:p>
    <w:p w14:paraId="513E68D3" w14:textId="77777777" w:rsidR="00C2649A" w:rsidRDefault="00C2649A">
      <w:pPr>
        <w:pStyle w:val="NormalWeb"/>
        <w:jc w:val="both"/>
      </w:pPr>
    </w:p>
    <w:p w14:paraId="62485A91" w14:textId="77777777" w:rsidR="00C2649A" w:rsidRDefault="00C2649A">
      <w:pPr>
        <w:pStyle w:val="NormalWeb"/>
        <w:jc w:val="both"/>
      </w:pPr>
    </w:p>
    <w:p w14:paraId="0CC74671" w14:textId="77777777" w:rsidR="00C2649A" w:rsidRDefault="00C2649A">
      <w:pPr>
        <w:pStyle w:val="NormalWeb"/>
        <w:jc w:val="both"/>
      </w:pPr>
    </w:p>
    <w:p w14:paraId="53E627C1" w14:textId="77777777" w:rsidR="00C2649A" w:rsidRDefault="00C2649A">
      <w:pPr>
        <w:pStyle w:val="NormalWeb"/>
        <w:jc w:val="both"/>
      </w:pPr>
    </w:p>
    <w:p w14:paraId="3F8FF4A0" w14:textId="77777777" w:rsidR="00C2649A" w:rsidRDefault="00C2649A">
      <w:pPr>
        <w:pStyle w:val="NormalWeb"/>
        <w:jc w:val="both"/>
      </w:pPr>
    </w:p>
    <w:p w14:paraId="10A86BFB" w14:textId="77777777" w:rsidR="00C2649A" w:rsidRDefault="00C2649A">
      <w:pPr>
        <w:pStyle w:val="NormalWeb"/>
        <w:jc w:val="both"/>
      </w:pPr>
    </w:p>
    <w:p w14:paraId="28432519" w14:textId="77777777" w:rsidR="00C2649A" w:rsidRDefault="00C2649A">
      <w:pPr>
        <w:pStyle w:val="NormalWeb"/>
        <w:jc w:val="both"/>
      </w:pPr>
    </w:p>
    <w:p w14:paraId="32F2EA4D" w14:textId="77777777" w:rsidR="00C2649A" w:rsidRDefault="00C2649A">
      <w:pPr>
        <w:pStyle w:val="NormalWeb"/>
        <w:jc w:val="both"/>
      </w:pPr>
    </w:p>
    <w:p w14:paraId="2C136AFC" w14:textId="77777777" w:rsidR="00C2649A" w:rsidRDefault="00C2649A">
      <w:pPr>
        <w:pStyle w:val="NormalWeb"/>
        <w:jc w:val="both"/>
      </w:pPr>
    </w:p>
    <w:p w14:paraId="7FFC054F" w14:textId="77777777" w:rsidR="00C2649A" w:rsidRDefault="00C2649A">
      <w:pPr>
        <w:pStyle w:val="NormalWeb"/>
        <w:jc w:val="both"/>
      </w:pPr>
    </w:p>
    <w:p w14:paraId="026497A5" w14:textId="77777777" w:rsidR="00C2649A" w:rsidRDefault="00C2649A">
      <w:pPr>
        <w:pStyle w:val="NormalWeb"/>
        <w:jc w:val="both"/>
      </w:pPr>
    </w:p>
    <w:p w14:paraId="681A56A7" w14:textId="77777777" w:rsidR="00C2649A" w:rsidRDefault="00C2649A">
      <w:pPr>
        <w:pStyle w:val="NormalWeb"/>
        <w:jc w:val="both"/>
      </w:pPr>
    </w:p>
    <w:p w14:paraId="557B29F9" w14:textId="77777777" w:rsidR="00C2649A" w:rsidRDefault="00C2649A">
      <w:pPr>
        <w:pStyle w:val="NormalWeb"/>
        <w:jc w:val="both"/>
      </w:pPr>
    </w:p>
    <w:p w14:paraId="7106161D" w14:textId="77777777" w:rsidR="00C2649A" w:rsidRDefault="00C2649A">
      <w:pPr>
        <w:pStyle w:val="NormalWeb"/>
        <w:jc w:val="both"/>
      </w:pPr>
    </w:p>
    <w:p w14:paraId="118B3C84" w14:textId="77777777" w:rsidR="00C2649A" w:rsidRDefault="00C2649A">
      <w:pPr>
        <w:pStyle w:val="NormalWeb"/>
        <w:jc w:val="both"/>
      </w:pPr>
    </w:p>
    <w:p w14:paraId="259D4FAC" w14:textId="77777777" w:rsidR="00C2649A" w:rsidRDefault="00C2649A">
      <w:pPr>
        <w:pStyle w:val="NormalWeb"/>
        <w:jc w:val="both"/>
      </w:pPr>
    </w:p>
    <w:p w14:paraId="1F064A69" w14:textId="77777777" w:rsidR="00C2649A" w:rsidRDefault="00C2649A">
      <w:pPr>
        <w:pStyle w:val="NormalWeb"/>
        <w:jc w:val="both"/>
      </w:pPr>
    </w:p>
    <w:p w14:paraId="4F615837" w14:textId="77777777" w:rsidR="00C2649A" w:rsidRDefault="00C2649A">
      <w:pPr>
        <w:pStyle w:val="NormalWeb"/>
        <w:jc w:val="both"/>
      </w:pPr>
    </w:p>
    <w:p w14:paraId="6482070D" w14:textId="77777777" w:rsidR="00C2649A" w:rsidRDefault="00C2649A">
      <w:pPr>
        <w:pStyle w:val="NormalWeb"/>
        <w:jc w:val="both"/>
      </w:pPr>
    </w:p>
    <w:p w14:paraId="6B556C17" w14:textId="77777777" w:rsidR="00C2649A" w:rsidRDefault="00C2649A">
      <w:pPr>
        <w:pStyle w:val="NormalWeb"/>
        <w:jc w:val="both"/>
      </w:pPr>
    </w:p>
    <w:p w14:paraId="47209D8D" w14:textId="77777777" w:rsidR="00C2649A" w:rsidRDefault="00C2649A">
      <w:pPr>
        <w:pStyle w:val="NormalWeb"/>
        <w:jc w:val="both"/>
      </w:pPr>
    </w:p>
    <w:p w14:paraId="4948F2FA" w14:textId="77777777" w:rsidR="00C2649A" w:rsidRDefault="00C2649A">
      <w:pPr>
        <w:pStyle w:val="NormalWeb"/>
        <w:jc w:val="both"/>
      </w:pPr>
    </w:p>
    <w:p w14:paraId="0E9E48F9" w14:textId="77777777" w:rsidR="00C2649A" w:rsidRDefault="00C2649A">
      <w:pPr>
        <w:pStyle w:val="NormalWeb"/>
        <w:jc w:val="both"/>
      </w:pPr>
    </w:p>
    <w:p w14:paraId="69623E5D" w14:textId="77777777" w:rsidR="00C2649A" w:rsidRDefault="00C2649A">
      <w:pPr>
        <w:pStyle w:val="NormalWeb"/>
        <w:jc w:val="both"/>
      </w:pPr>
    </w:p>
    <w:p w14:paraId="78FF61AE" w14:textId="77777777" w:rsidR="00C2649A" w:rsidRDefault="00C2649A">
      <w:pPr>
        <w:pStyle w:val="NormalWeb"/>
        <w:jc w:val="both"/>
      </w:pPr>
    </w:p>
    <w:p w14:paraId="78533FA0" w14:textId="77777777" w:rsidR="00C2649A" w:rsidRDefault="00C2649A">
      <w:pPr>
        <w:pStyle w:val="NormalWeb"/>
        <w:jc w:val="both"/>
      </w:pPr>
    </w:p>
    <w:p w14:paraId="2CBCE13A" w14:textId="77777777" w:rsidR="00C2649A" w:rsidRDefault="00C2649A">
      <w:pPr>
        <w:pStyle w:val="NormalWeb"/>
        <w:jc w:val="both"/>
      </w:pPr>
    </w:p>
    <w:p w14:paraId="65192A89" w14:textId="77777777" w:rsidR="00C2649A" w:rsidRDefault="00C2649A">
      <w:pPr>
        <w:pStyle w:val="NormalWeb"/>
        <w:jc w:val="both"/>
      </w:pPr>
    </w:p>
    <w:p w14:paraId="1181BA04" w14:textId="77777777" w:rsidR="00C2649A" w:rsidRDefault="00C2649A">
      <w:pPr>
        <w:pStyle w:val="NormalWeb"/>
        <w:jc w:val="both"/>
      </w:pPr>
    </w:p>
    <w:p w14:paraId="38C9E2AD" w14:textId="77777777" w:rsidR="00C2649A" w:rsidRDefault="00C2649A">
      <w:pPr>
        <w:pStyle w:val="NormalWeb"/>
        <w:jc w:val="both"/>
      </w:pPr>
    </w:p>
    <w:p w14:paraId="3409DBAB" w14:textId="77777777" w:rsidR="00C2649A" w:rsidRDefault="00C2649A">
      <w:pPr>
        <w:pStyle w:val="NormalWeb"/>
        <w:jc w:val="both"/>
      </w:pPr>
    </w:p>
    <w:p w14:paraId="793CFA45" w14:textId="77777777" w:rsidR="00C2649A" w:rsidRDefault="00C2649A">
      <w:pPr>
        <w:pStyle w:val="NormalWeb"/>
        <w:jc w:val="both"/>
      </w:pPr>
    </w:p>
    <w:p w14:paraId="335A3063" w14:textId="77777777" w:rsidR="00C2649A" w:rsidRDefault="00C2649A">
      <w:pPr>
        <w:pStyle w:val="NormalWeb"/>
        <w:jc w:val="both"/>
      </w:pPr>
    </w:p>
    <w:p w14:paraId="25FF2174" w14:textId="77777777" w:rsidR="00C2649A" w:rsidRPr="008B3857" w:rsidRDefault="00735359">
      <w:pPr>
        <w:pStyle w:val="Heading1"/>
        <w:jc w:val="both"/>
        <w:rPr>
          <w:color w:val="000000" w:themeColor="text1"/>
          <w:lang w:val="en-US"/>
        </w:rPr>
      </w:pPr>
      <w:r w:rsidRPr="008B3857">
        <w:rPr>
          <w:rStyle w:val="Strong"/>
          <w:b/>
          <w:color w:val="000000" w:themeColor="text1"/>
        </w:rPr>
        <w:t>1.3 Problem</w:t>
      </w:r>
      <w:r w:rsidRPr="008B3857">
        <w:rPr>
          <w:rStyle w:val="Strong"/>
          <w:b/>
          <w:color w:val="000000" w:themeColor="text1"/>
          <w:lang w:val="en-US"/>
        </w:rPr>
        <w:t xml:space="preserve"> Statement </w:t>
      </w:r>
    </w:p>
    <w:p w14:paraId="405EB536" w14:textId="064133E1" w:rsidR="00C2649A" w:rsidRDefault="00735359">
      <w:pPr>
        <w:pStyle w:val="NormalWeb"/>
        <w:jc w:val="both"/>
      </w:pPr>
      <w:r>
        <w:t>M</w:t>
      </w:r>
      <w:r>
        <w:t>any churches have adopted constitutional provisions prescribing mandatory retirement ages for pastors and other church leaders. While these policies often serve important administrative and practical purposes, their biblical and theological foundations are not always clearly articulated. This raises an important concern regarding whether such regulations derive from explicit biblical teaching or from ecclesiastical decisions intended to promote effective church governance.[1]</w:t>
      </w:r>
    </w:p>
    <w:p w14:paraId="0C5AAF17" w14:textId="77777777" w:rsidR="00C2649A" w:rsidRDefault="00735359">
      <w:pPr>
        <w:pStyle w:val="NormalWeb"/>
        <w:jc w:val="both"/>
      </w:pPr>
      <w:r>
        <w:t>The Malawi Assemblies of God Constitution sets the pastoral retirement age at 80, contrasting sharply with the Levitical requirement in Numbers 8:23–26 that mandated Levites retire from regular tabernacle duties at age 50.This discrepancy creates complex theological questions because contemporary churches often use the Old Testament Levitical system to justify ministry practices like tithing and spiritual leadership. However, the New Testament declares that Jesus changed this legal framework by establishing</w:t>
      </w:r>
      <w:r>
        <w:t xml:space="preserve"> a new priesthood under the order of Melchizedek. Furthermore, New Testament pastoral offices (elders, overseers, and pastors) are never linked to Levitical roles, nor does the New Covenant prescribe a mandatory retirement age for Christian ministers.</w:t>
      </w:r>
    </w:p>
    <w:p w14:paraId="0DFBAA00" w14:textId="77777777" w:rsidR="00C2649A" w:rsidRDefault="00C2649A">
      <w:pPr>
        <w:pStyle w:val="NormalWeb"/>
        <w:jc w:val="both"/>
      </w:pPr>
    </w:p>
    <w:p w14:paraId="6D6306C2" w14:textId="58E9391F" w:rsidR="00C2649A" w:rsidRDefault="00735359">
      <w:pPr>
        <w:pStyle w:val="NormalWeb"/>
        <w:jc w:val="both"/>
      </w:pPr>
      <w:r>
        <w:t xml:space="preserve">This apparent tension exposes a significant problem in both biblical scholarship and ecclesiastical practice. Existing discussions of ministerial retirement have generally concentrated on organizational management, clergy welfare, pension systems, or leadership succession, while comparatively little attention has been devoted to an exegetical examination of the biblical basis for compulsory retirement under the New </w:t>
      </w:r>
      <w:r>
        <w:lastRenderedPageBreak/>
        <w:t>Covenant.[6] Consequently, many denominational retirement policies have been accepted as matters of church administration without first determining whether Scripture requires, permits, or remains silent concerning mandatory retirement for pastors.</w:t>
      </w:r>
    </w:p>
    <w:p w14:paraId="2EED5488" w14:textId="17CE1ADC" w:rsidR="00C2649A" w:rsidRDefault="00735359">
      <w:pPr>
        <w:pStyle w:val="NormalWeb"/>
        <w:jc w:val="both"/>
      </w:pPr>
      <w:r>
        <w:t>The problem is therefore not merely the difference between the ages of fifty and eighty. Rather, the fundamental issue is whether Numbers 8:23–26, as legislation governing Levitical ministry under the Mosaic Covenant, possesses continuing normative authority for pastors serving under the New Covenant. If the Levitical retirement regulation remains applicable, then contemporary churches must explain why they have adopted retirement ages that differ from the biblical prescription. Conversely, if the regulatio</w:t>
      </w:r>
      <w:r>
        <w:t>n belonged exclusively to the Levitical system fulfilled in Christ, then the theological basis for imposing any mandatory retirement age upon New Testament pastors requires careful examination. This presents an unresolved hermeneutical question regarding the continuity and discontinuity between the Mosaic Covenant and the New Covenant.</w:t>
      </w:r>
    </w:p>
    <w:p w14:paraId="61D0BEB8" w14:textId="77777777" w:rsidR="00C2649A" w:rsidRDefault="00735359">
      <w:pPr>
        <w:pStyle w:val="NormalWeb"/>
        <w:jc w:val="both"/>
      </w:pPr>
      <w:r>
        <w:t>Accordingly, this study seeks to address this problem through a grammatical-historical exegesis of Numbers 8:23–26 within its literary, historical, and covenantal context, followed by a theological evaluation of its relevance for New Testament pastoral ministry. The findings will then be applied to the ministerial retirement policy of the Malawi Assemblies of God Church to determine whether the constitutional retirement age reflects a biblical mandate, a theological principle, or an administrative policy ad</w:t>
      </w:r>
      <w:r>
        <w:t>opted for the effective governance of the church. By addressing this question, the study aims to contribute to a more biblically informed understanding of ministerial retirement and to provide theological guidance for churches seeking to develop policies that are faithful to the teaching of Scripture.</w:t>
      </w:r>
    </w:p>
    <w:p w14:paraId="20318677" w14:textId="77777777" w:rsidR="00C2649A" w:rsidRDefault="007E2034">
      <w:pPr>
        <w:jc w:val="both"/>
      </w:pPr>
      <w:r>
        <w:rPr>
          <w:noProof/>
        </w:rPr>
      </w:r>
      <w:r w:rsidR="007E2034">
        <w:rPr>
          <w:noProof/>
        </w:rPr>
        <w:pict>
          <v:rect id="_x0000_i1027" style="width:6in;height:1.5pt" o:hralign="center" o:hrstd="t" o:hr="t" fillcolor="#a0a0a0" stroked="f"/>
        </w:pict>
      </w:r>
    </w:p>
    <w:p w14:paraId="2700531B" w14:textId="77777777" w:rsidR="00C2649A" w:rsidRPr="008B3857" w:rsidRDefault="00735359">
      <w:pPr>
        <w:pStyle w:val="Heading2"/>
        <w:jc w:val="both"/>
        <w:rPr>
          <w:color w:val="000000" w:themeColor="text1"/>
        </w:rPr>
      </w:pPr>
      <w:r w:rsidRPr="008B3857">
        <w:rPr>
          <w:rStyle w:val="Strong"/>
          <w:b/>
          <w:color w:val="000000" w:themeColor="text1"/>
        </w:rPr>
        <w:t>Footnotes</w:t>
      </w:r>
    </w:p>
    <w:p w14:paraId="5280FE69" w14:textId="77777777" w:rsidR="00C2649A" w:rsidRDefault="00735359">
      <w:pPr>
        <w:pStyle w:val="NormalWeb"/>
        <w:jc w:val="both"/>
      </w:pPr>
      <w:r>
        <w:t xml:space="preserve">[1] Gregg R. Allison, </w:t>
      </w:r>
      <w:r>
        <w:rPr>
          <w:rStyle w:val="Emphasis"/>
        </w:rPr>
        <w:t>Sojourners and Strangers: The Doctrine of the Church</w:t>
      </w:r>
      <w:r>
        <w:t xml:space="preserve"> (Wheaton, IL: Crossway, 2012), 353–366.</w:t>
      </w:r>
    </w:p>
    <w:p w14:paraId="39ACE68D" w14:textId="77777777" w:rsidR="00C2649A" w:rsidRDefault="00735359">
      <w:pPr>
        <w:pStyle w:val="NormalWeb"/>
        <w:jc w:val="both"/>
      </w:pPr>
      <w:r>
        <w:t xml:space="preserve">[2] Malawi Assemblies of God Church, </w:t>
      </w:r>
      <w:r>
        <w:rPr>
          <w:rStyle w:val="Emphasis"/>
        </w:rPr>
        <w:t>Constitution of the Malawi Assemblies of God Church</w:t>
      </w:r>
      <w:r>
        <w:t xml:space="preserve"> (Lilongwe: Malawi Assemblies of God Church, current edition), section on ministerial retirement.</w:t>
      </w:r>
    </w:p>
    <w:p w14:paraId="391571FC" w14:textId="77777777" w:rsidR="00C2649A" w:rsidRDefault="00735359">
      <w:pPr>
        <w:pStyle w:val="NormalWeb"/>
        <w:jc w:val="both"/>
      </w:pPr>
      <w:r>
        <w:t>[3] The Holy Bible, New International Version (Grand Rapids, MI: Zondervan, 2011), Numbers 8:23–26.</w:t>
      </w:r>
    </w:p>
    <w:p w14:paraId="06C2A452" w14:textId="77777777" w:rsidR="00C2649A" w:rsidRDefault="00735359">
      <w:pPr>
        <w:pStyle w:val="NormalWeb"/>
        <w:jc w:val="both"/>
      </w:pPr>
      <w:r>
        <w:t xml:space="preserve">[4] William L. Lane, </w:t>
      </w:r>
      <w:r>
        <w:rPr>
          <w:rStyle w:val="Emphasis"/>
        </w:rPr>
        <w:t>Hebrews 1–8</w:t>
      </w:r>
      <w:r>
        <w:t>, Word Biblical Commentary, Vol. 47A (Dallas, TX: Word Books, 1991), 177–184.</w:t>
      </w:r>
    </w:p>
    <w:p w14:paraId="7426941C" w14:textId="77777777" w:rsidR="00C2649A" w:rsidRDefault="00735359">
      <w:pPr>
        <w:pStyle w:val="NormalWeb"/>
        <w:jc w:val="both"/>
      </w:pPr>
      <w:r>
        <w:t xml:space="preserve">[5] Thomas R. Schreiner, </w:t>
      </w:r>
      <w:r>
        <w:rPr>
          <w:rStyle w:val="Emphasis"/>
        </w:rPr>
        <w:t>40 Questions About Christians and Biblical Law</w:t>
      </w:r>
      <w:r>
        <w:t xml:space="preserve"> (Grand Rapids, MI: </w:t>
      </w:r>
      <w:proofErr w:type="spellStart"/>
      <w:r>
        <w:t>Kregel</w:t>
      </w:r>
      <w:proofErr w:type="spellEnd"/>
      <w:r>
        <w:t xml:space="preserve"> Academic, 2010), 159–183.</w:t>
      </w:r>
    </w:p>
    <w:p w14:paraId="070CEA77" w14:textId="77777777" w:rsidR="00C2649A" w:rsidRDefault="00735359">
      <w:pPr>
        <w:pStyle w:val="NormalWeb"/>
        <w:jc w:val="both"/>
      </w:pPr>
      <w:r>
        <w:t xml:space="preserve">[6] John S. Hammett, </w:t>
      </w:r>
      <w:r>
        <w:rPr>
          <w:rStyle w:val="Emphasis"/>
        </w:rPr>
        <w:t>Biblical Foundations for Baptist Churches: A Contemporary Ecclesiology</w:t>
      </w:r>
      <w:r>
        <w:t xml:space="preserve">, 2nd ed. (Grand Rapids, MI: </w:t>
      </w:r>
      <w:proofErr w:type="spellStart"/>
      <w:r>
        <w:t>Kregel</w:t>
      </w:r>
      <w:proofErr w:type="spellEnd"/>
      <w:r>
        <w:t xml:space="preserve"> Academic, 2019), 229–241.</w:t>
      </w:r>
    </w:p>
    <w:p w14:paraId="158B871D" w14:textId="77777777" w:rsidR="00C2649A" w:rsidRDefault="00C2649A">
      <w:pPr>
        <w:pStyle w:val="NormalWeb"/>
        <w:jc w:val="both"/>
      </w:pPr>
    </w:p>
    <w:p w14:paraId="24CB19A3" w14:textId="77777777" w:rsidR="00C2649A" w:rsidRPr="008B3857" w:rsidRDefault="00735359">
      <w:pPr>
        <w:pStyle w:val="Heading2"/>
        <w:jc w:val="both"/>
        <w:rPr>
          <w:color w:val="000000" w:themeColor="text1"/>
        </w:rPr>
      </w:pPr>
      <w:r w:rsidRPr="008B3857">
        <w:rPr>
          <w:rStyle w:val="Strong"/>
          <w:b/>
          <w:color w:val="000000" w:themeColor="text1"/>
        </w:rPr>
        <w:t>1.4 Purpose of the Study</w:t>
      </w:r>
    </w:p>
    <w:p w14:paraId="77244F66" w14:textId="76117BFA" w:rsidR="00C2649A" w:rsidRDefault="00735359">
      <w:pPr>
        <w:pStyle w:val="NormalWeb"/>
        <w:jc w:val="both"/>
      </w:pPr>
      <w:r>
        <w:t>The primary purpose of this study is to conduct an exegetical and theological evaluation of Numbers 8:23–26 in order to determine its relevance for ministerial retirement under the New Covenant, with particular reference to the pastoral retirement policy of the Malawi Assemblies of God Church. The study seeks to establish whether the retirement regulation prescribed for Levites under the Mosaic Covenant possesses continuing normative authority for Christian pastors or whether it was limited to the Levitical</w:t>
      </w:r>
      <w:r>
        <w:t xml:space="preserve"> ministry within Israel's covenantal system.[1]</w:t>
      </w:r>
    </w:p>
    <w:p w14:paraId="7241BF22" w14:textId="1F32AC87" w:rsidR="00C2649A" w:rsidRDefault="00735359">
      <w:pPr>
        <w:pStyle w:val="NormalWeb"/>
        <w:jc w:val="both"/>
      </w:pPr>
      <w:r>
        <w:t>More specifically, the research aims to examine the original historical, literary, and theological context of Numbers 8:23–26 through the grammatical-historical method of biblical interpretation. By investigating the purpose, function, and duration of the Levitical retirement legislation, the study seeks to determine whether the regulation constituted a universal principle for all ministers or a covenant-specific requirement applicable only to those serving within the tabernacle under the Mosaic Law.[2]</w:t>
      </w:r>
    </w:p>
    <w:p w14:paraId="5F4E7C60" w14:textId="77777777" w:rsidR="00C2649A" w:rsidRDefault="00735359">
      <w:pPr>
        <w:pStyle w:val="NormalWeb"/>
        <w:jc w:val="both"/>
      </w:pPr>
      <w:r>
        <w:t xml:space="preserve">This study evaluates the Malawi Assemblies of God's ministerial retirement policy by analyzing whether compulsory retirement age is a biblical command, a theological principle, or an administrative strategy for leadership succession. By examining Numbers 8:23–26 alongside New Testament ministry, the research fills a gap in biblical scholarship regarding retirement under the New Covenant. Ultimately, it aims to help church leaders distinguish between divine mandates and flexible institutional regulations to </w:t>
      </w:r>
      <w:r>
        <w:t>create theologically sound, administratively responsible policies.</w:t>
      </w:r>
    </w:p>
    <w:p w14:paraId="610666D5" w14:textId="77777777" w:rsidR="00C2649A" w:rsidRDefault="00C2649A">
      <w:pPr>
        <w:pStyle w:val="NormalWeb"/>
        <w:jc w:val="both"/>
      </w:pPr>
    </w:p>
    <w:p w14:paraId="4DA3F22A" w14:textId="77777777" w:rsidR="00C2649A" w:rsidRDefault="00C2649A">
      <w:pPr>
        <w:pStyle w:val="NormalWeb"/>
        <w:jc w:val="both"/>
      </w:pPr>
    </w:p>
    <w:p w14:paraId="258E079B" w14:textId="77777777" w:rsidR="00C2649A" w:rsidRDefault="007E2034">
      <w:pPr>
        <w:jc w:val="both"/>
      </w:pPr>
      <w:r>
        <w:rPr>
          <w:noProof/>
        </w:rPr>
      </w:r>
      <w:r w:rsidR="007E2034">
        <w:rPr>
          <w:noProof/>
        </w:rPr>
        <w:pict>
          <v:rect id="_x0000_i1028" style="width:6in;height:1.5pt" o:hralign="center" o:hrstd="t" o:hr="t" fillcolor="#a0a0a0" stroked="f"/>
        </w:pict>
      </w:r>
    </w:p>
    <w:p w14:paraId="54C690AF" w14:textId="77777777" w:rsidR="00C2649A" w:rsidRPr="008B3857" w:rsidRDefault="00735359">
      <w:pPr>
        <w:pStyle w:val="Heading2"/>
        <w:jc w:val="both"/>
        <w:rPr>
          <w:color w:val="000000" w:themeColor="text1"/>
        </w:rPr>
      </w:pPr>
      <w:r w:rsidRPr="008B3857">
        <w:rPr>
          <w:rStyle w:val="Strong"/>
          <w:b/>
          <w:color w:val="000000" w:themeColor="text1"/>
        </w:rPr>
        <w:t>Footnotes</w:t>
      </w:r>
    </w:p>
    <w:p w14:paraId="60A97F6F" w14:textId="77777777" w:rsidR="00C2649A" w:rsidRDefault="00735359">
      <w:pPr>
        <w:pStyle w:val="NormalWeb"/>
        <w:jc w:val="both"/>
      </w:pPr>
      <w:r>
        <w:t xml:space="preserve">[1] Gordon J. Wenham, </w:t>
      </w:r>
      <w:r>
        <w:rPr>
          <w:rStyle w:val="Emphasis"/>
        </w:rPr>
        <w:t>Numbers: An Introduction and Commentary</w:t>
      </w:r>
      <w:r>
        <w:t xml:space="preserve"> (Downers Grove, IL: IVP Academic, 2008), 104–107.</w:t>
      </w:r>
    </w:p>
    <w:p w14:paraId="618ABACF" w14:textId="77777777" w:rsidR="00C2649A" w:rsidRDefault="00735359">
      <w:pPr>
        <w:pStyle w:val="NormalWeb"/>
        <w:jc w:val="both"/>
      </w:pPr>
      <w:r>
        <w:t xml:space="preserve">[2] Timothy R. Ashley, </w:t>
      </w:r>
      <w:r>
        <w:rPr>
          <w:rStyle w:val="Emphasis"/>
        </w:rPr>
        <w:t>The Book of Numbers</w:t>
      </w:r>
      <w:r>
        <w:t>, New International Commentary on the Old Testament (Grand Rapids, MI: Eerdmans, 1993), 165–170.</w:t>
      </w:r>
    </w:p>
    <w:p w14:paraId="222D9036" w14:textId="77777777" w:rsidR="00C2649A" w:rsidRDefault="00735359">
      <w:pPr>
        <w:pStyle w:val="NormalWeb"/>
        <w:jc w:val="both"/>
      </w:pPr>
      <w:r>
        <w:t xml:space="preserve">[3] William L. Lane, </w:t>
      </w:r>
      <w:r>
        <w:rPr>
          <w:rStyle w:val="Emphasis"/>
        </w:rPr>
        <w:t>Hebrews 1–8</w:t>
      </w:r>
      <w:r>
        <w:t>, Word Biblical Commentary, Vol. 47A (Dallas, TX: Word Books, 1991), 177–184.</w:t>
      </w:r>
    </w:p>
    <w:p w14:paraId="49022881" w14:textId="77777777" w:rsidR="00C2649A" w:rsidRDefault="00735359">
      <w:pPr>
        <w:pStyle w:val="NormalWeb"/>
        <w:jc w:val="both"/>
      </w:pPr>
      <w:r>
        <w:t xml:space="preserve">[4] George W. Knight III, </w:t>
      </w:r>
      <w:r>
        <w:rPr>
          <w:rStyle w:val="Emphasis"/>
        </w:rPr>
        <w:t>The Pastoral Epistles</w:t>
      </w:r>
      <w:r>
        <w:t>, New International Greek Testament Commentary (Grand Rapids, MI: Eerdmans, 1992), 154–201.</w:t>
      </w:r>
    </w:p>
    <w:p w14:paraId="72D8C23D" w14:textId="77777777" w:rsidR="00C2649A" w:rsidRDefault="00735359">
      <w:pPr>
        <w:pStyle w:val="NormalWeb"/>
        <w:jc w:val="both"/>
      </w:pPr>
      <w:r>
        <w:t xml:space="preserve">[5] Malawi Assemblies of God Church, </w:t>
      </w:r>
      <w:r>
        <w:rPr>
          <w:rStyle w:val="Emphasis"/>
        </w:rPr>
        <w:t>Constitution of the Malawi Assemblies of God Church</w:t>
      </w:r>
      <w:r>
        <w:t xml:space="preserve"> (Lilongwe: Malawi Assemblies of God Church, current edition), section on ministerial retirement.</w:t>
      </w:r>
    </w:p>
    <w:p w14:paraId="00A09527" w14:textId="77777777" w:rsidR="00C2649A" w:rsidRDefault="00735359">
      <w:pPr>
        <w:pStyle w:val="NormalWeb"/>
        <w:jc w:val="both"/>
      </w:pPr>
      <w:r>
        <w:lastRenderedPageBreak/>
        <w:t xml:space="preserve">[6] Gregg R. Allison, </w:t>
      </w:r>
      <w:r>
        <w:rPr>
          <w:rStyle w:val="Emphasis"/>
        </w:rPr>
        <w:t>Sojourners and Strangers: The Doctrine of the Church</w:t>
      </w:r>
      <w:r>
        <w:t xml:space="preserve"> (Wheaton, IL: Crossway, 2012), 353–366.</w:t>
      </w:r>
    </w:p>
    <w:p w14:paraId="22057DFB" w14:textId="026F4E15" w:rsidR="00C2649A" w:rsidRDefault="00735359" w:rsidP="003811C5">
      <w:pPr>
        <w:pStyle w:val="NormalWeb"/>
        <w:jc w:val="both"/>
      </w:pPr>
      <w:r>
        <w:t xml:space="preserve">[7] John S. Hammett, </w:t>
      </w:r>
      <w:r>
        <w:rPr>
          <w:rStyle w:val="Emphasis"/>
        </w:rPr>
        <w:t>Biblical Foundations for Baptist Churches: A Contemporary Ecclesiology</w:t>
      </w:r>
      <w:r>
        <w:t xml:space="preserve">, 2nd ed. (Grand Rapids, MI: </w:t>
      </w:r>
      <w:proofErr w:type="spellStart"/>
      <w:r>
        <w:t>Kregel</w:t>
      </w:r>
      <w:proofErr w:type="spellEnd"/>
      <w:r>
        <w:t xml:space="preserve"> Academic, 2019), 229–241.</w:t>
      </w:r>
    </w:p>
    <w:p w14:paraId="01EA93BF" w14:textId="77777777" w:rsidR="008B3857" w:rsidRDefault="008B3857" w:rsidP="003811C5">
      <w:pPr>
        <w:pStyle w:val="NormalWeb"/>
        <w:jc w:val="both"/>
      </w:pPr>
    </w:p>
    <w:p w14:paraId="47BEC56C" w14:textId="77777777" w:rsidR="00C2649A" w:rsidRPr="003811C5" w:rsidRDefault="00735359">
      <w:pPr>
        <w:pStyle w:val="Heading1"/>
        <w:jc w:val="both"/>
        <w:rPr>
          <w:color w:val="000000" w:themeColor="text1"/>
        </w:rPr>
      </w:pPr>
      <w:r w:rsidRPr="003811C5">
        <w:rPr>
          <w:rStyle w:val="Strong"/>
          <w:b/>
          <w:color w:val="000000" w:themeColor="text1"/>
        </w:rPr>
        <w:t>1</w:t>
      </w:r>
      <w:r w:rsidRPr="003811C5">
        <w:rPr>
          <w:rStyle w:val="Strong"/>
          <w:b/>
          <w:color w:val="000000" w:themeColor="text1"/>
        </w:rPr>
        <w:t>.5 Objectives of the Study</w:t>
      </w:r>
    </w:p>
    <w:p w14:paraId="7CA8A5C2" w14:textId="77777777" w:rsidR="00C2649A" w:rsidRDefault="00735359">
      <w:pPr>
        <w:pStyle w:val="NormalWeb"/>
        <w:jc w:val="both"/>
      </w:pPr>
      <w:r>
        <w:t>The study seeks to achieve the following specific objectives:</w:t>
      </w:r>
    </w:p>
    <w:p w14:paraId="6CEC0866" w14:textId="77777777" w:rsidR="00C2649A" w:rsidRDefault="00735359">
      <w:pPr>
        <w:numPr>
          <w:ilvl w:val="0"/>
          <w:numId w:val="2"/>
        </w:numPr>
        <w:spacing w:beforeAutospacing="1" w:afterAutospacing="1"/>
        <w:jc w:val="both"/>
      </w:pPr>
      <w:r>
        <w:rPr>
          <w:rStyle w:val="Strong"/>
          <w:b w:val="0"/>
        </w:rPr>
        <w:t>To examine the historical, literary, and theological context of Numbers 8:23–26 in order to establish the purpose and function of the Levitical retirement regulation under the Mosaic Covenant.</w:t>
      </w:r>
      <w:r>
        <w:t xml:space="preserve"> </w:t>
      </w:r>
    </w:p>
    <w:p w14:paraId="360B13BC" w14:textId="77777777" w:rsidR="00C2649A" w:rsidRDefault="00735359">
      <w:pPr>
        <w:numPr>
          <w:ilvl w:val="0"/>
          <w:numId w:val="2"/>
        </w:numPr>
        <w:spacing w:beforeAutospacing="1" w:afterAutospacing="1"/>
        <w:jc w:val="both"/>
      </w:pPr>
      <w:r>
        <w:rPr>
          <w:rStyle w:val="Strong"/>
          <w:b w:val="0"/>
        </w:rPr>
        <w:t>To conduct an exegetical study of Numbers 8:23–26 using the grammatical-historical method in order to determine whether the retirement regulation was intended as a covenant-specific requirement or a universal principle for ministerial service.</w:t>
      </w:r>
      <w:r>
        <w:t xml:space="preserve"> </w:t>
      </w:r>
    </w:p>
    <w:p w14:paraId="6200F5AD" w14:textId="77777777" w:rsidR="00C2649A" w:rsidRDefault="00735359">
      <w:pPr>
        <w:numPr>
          <w:ilvl w:val="0"/>
          <w:numId w:val="2"/>
        </w:numPr>
        <w:spacing w:beforeAutospacing="1" w:afterAutospacing="1"/>
        <w:jc w:val="both"/>
      </w:pPr>
      <w:r>
        <w:rPr>
          <w:rStyle w:val="Strong"/>
          <w:b w:val="0"/>
        </w:rPr>
        <w:t>To examine New Testament teaching on pastoral ministry in order to determine whether Scripture establishes a mandatory retirement age for pastors, elders, or overseers serving under the New Covenant.</w:t>
      </w:r>
      <w:r>
        <w:t xml:space="preserve"> </w:t>
      </w:r>
    </w:p>
    <w:p w14:paraId="59DDDAA4" w14:textId="77777777" w:rsidR="00C2649A" w:rsidRDefault="00735359">
      <w:pPr>
        <w:numPr>
          <w:ilvl w:val="0"/>
          <w:numId w:val="2"/>
        </w:numPr>
        <w:spacing w:beforeAutospacing="1" w:afterAutospacing="1"/>
        <w:jc w:val="both"/>
      </w:pPr>
      <w:r>
        <w:rPr>
          <w:rStyle w:val="Strong"/>
          <w:b w:val="0"/>
        </w:rPr>
        <w:t>To evaluate the pastoral retirement policy of the Malawi Assemblies of God Church in the light of the exegetical and theological findings of the study.</w:t>
      </w:r>
      <w:r>
        <w:t xml:space="preserve"> </w:t>
      </w:r>
    </w:p>
    <w:p w14:paraId="2F19BBE4" w14:textId="77777777" w:rsidR="00C2649A" w:rsidRDefault="00735359">
      <w:pPr>
        <w:numPr>
          <w:ilvl w:val="0"/>
          <w:numId w:val="2"/>
        </w:numPr>
        <w:spacing w:beforeAutospacing="1" w:afterAutospacing="1"/>
        <w:jc w:val="both"/>
      </w:pPr>
      <w:r>
        <w:rPr>
          <w:rStyle w:val="Strong"/>
          <w:b w:val="0"/>
        </w:rPr>
        <w:t>To propose biblically and theologically informed recommendations concerning ministerial retirement within the Malawi Assemblies of God Church and the wider Christian community.</w:t>
      </w:r>
    </w:p>
    <w:p w14:paraId="0949EC67" w14:textId="77777777" w:rsidR="00C2649A" w:rsidRDefault="00C2649A">
      <w:pPr>
        <w:pStyle w:val="Heading1"/>
        <w:jc w:val="both"/>
      </w:pPr>
    </w:p>
    <w:p w14:paraId="73FEE556" w14:textId="77777777" w:rsidR="00C2649A" w:rsidRPr="003811C5" w:rsidRDefault="00735359">
      <w:pPr>
        <w:pStyle w:val="Heading1"/>
        <w:jc w:val="both"/>
        <w:rPr>
          <w:color w:val="000000" w:themeColor="text1"/>
        </w:rPr>
      </w:pPr>
      <w:r w:rsidRPr="003811C5">
        <w:rPr>
          <w:rStyle w:val="Strong"/>
          <w:b/>
          <w:color w:val="000000" w:themeColor="text1"/>
        </w:rPr>
        <w:t>1.6 Research Questions</w:t>
      </w:r>
    </w:p>
    <w:p w14:paraId="14B0FDBF" w14:textId="77777777" w:rsidR="00C2649A" w:rsidRDefault="00735359">
      <w:pPr>
        <w:pStyle w:val="NormalWeb"/>
        <w:jc w:val="both"/>
      </w:pPr>
      <w:r>
        <w:t xml:space="preserve">This study aims to answer the following questions: </w:t>
      </w:r>
    </w:p>
    <w:p w14:paraId="65033245" w14:textId="77777777" w:rsidR="00C2649A" w:rsidRDefault="00C2649A">
      <w:pPr>
        <w:pStyle w:val="Heading3"/>
        <w:jc w:val="both"/>
      </w:pPr>
    </w:p>
    <w:p w14:paraId="46AC6F83" w14:textId="77777777" w:rsidR="00C2649A" w:rsidRDefault="00735359">
      <w:pPr>
        <w:pStyle w:val="NormalWeb"/>
        <w:jc w:val="both"/>
      </w:pPr>
      <w:r>
        <w:rPr>
          <w:rStyle w:val="Strong"/>
          <w:b w:val="0"/>
        </w:rPr>
        <w:t xml:space="preserve">1. Does the New Covenant establish a biblically mandated retirement age for pastors, or should ministerial retirement be understood as an administrative matter left to the discretion of the church. </w:t>
      </w:r>
    </w:p>
    <w:p w14:paraId="603EC463" w14:textId="77777777" w:rsidR="00C2649A" w:rsidRDefault="00735359">
      <w:pPr>
        <w:pStyle w:val="NormalWeb"/>
        <w:jc w:val="both"/>
      </w:pPr>
      <w:r>
        <w:rPr>
          <w:rStyle w:val="Strong"/>
          <w:b w:val="0"/>
        </w:rPr>
        <w:t>2. What is the historical, literary, and theological context of Numbers 8:23–26, and what purpose did the Levitical retirement regulation serve under the Mosaic Covenant?</w:t>
      </w:r>
      <w:r>
        <w:t xml:space="preserve"> </w:t>
      </w:r>
    </w:p>
    <w:p w14:paraId="6300F4F6" w14:textId="77777777" w:rsidR="00C2649A" w:rsidRDefault="00735359">
      <w:pPr>
        <w:pStyle w:val="NormalWeb"/>
        <w:jc w:val="both"/>
      </w:pPr>
      <w:r>
        <w:t xml:space="preserve">3. </w:t>
      </w:r>
      <w:r>
        <w:rPr>
          <w:rStyle w:val="Strong"/>
          <w:b w:val="0"/>
        </w:rPr>
        <w:t xml:space="preserve">Does the grammatical-historical exegesis of Numbers 8:23–26 indicate that the retirement regulation was intended as a covenant-specific requirement for Levitical ministry or as a universal principle applicable to all ministers. </w:t>
      </w:r>
    </w:p>
    <w:p w14:paraId="36C269E5" w14:textId="77777777" w:rsidR="00C2649A" w:rsidRDefault="00735359">
      <w:pPr>
        <w:pStyle w:val="NormalWeb"/>
        <w:jc w:val="both"/>
      </w:pPr>
      <w:r>
        <w:rPr>
          <w:rStyle w:val="Strong"/>
          <w:b w:val="0"/>
        </w:rPr>
        <w:t>4. Does the New Testament prescribe a mandatory retirement age for pastors, elders, or overseers serving under the New Covenant?</w:t>
      </w:r>
      <w:r>
        <w:t xml:space="preserve"> </w:t>
      </w:r>
    </w:p>
    <w:p w14:paraId="5B653894" w14:textId="77777777" w:rsidR="00C2649A" w:rsidRDefault="00735359">
      <w:pPr>
        <w:pStyle w:val="NormalWeb"/>
        <w:jc w:val="both"/>
      </w:pPr>
      <w:r>
        <w:lastRenderedPageBreak/>
        <w:t xml:space="preserve">5. </w:t>
      </w:r>
      <w:r>
        <w:rPr>
          <w:rStyle w:val="Strong"/>
          <w:b w:val="0"/>
        </w:rPr>
        <w:t>To what extent is the ministerial retirement policy of the Malawi Assemblies of God Church consistent with the exegetical and theological findings of this study?</w:t>
      </w:r>
      <w:r>
        <w:t xml:space="preserve"> </w:t>
      </w:r>
    </w:p>
    <w:p w14:paraId="55385D0E" w14:textId="77777777" w:rsidR="00C2649A" w:rsidRDefault="00735359">
      <w:pPr>
        <w:pStyle w:val="NormalWeb"/>
        <w:jc w:val="both"/>
      </w:pPr>
      <w:r>
        <w:t xml:space="preserve">6. </w:t>
      </w:r>
      <w:r>
        <w:rPr>
          <w:rStyle w:val="Strong"/>
          <w:b w:val="0"/>
        </w:rPr>
        <w:t>What biblically and theologically informed recommendations can be proposed regarding ministerial retirement within the Malawi Assemblies of God Church and the wider Christian community?</w:t>
      </w:r>
      <w:r>
        <w:t xml:space="preserve"> </w:t>
      </w:r>
    </w:p>
    <w:p w14:paraId="6E56D360" w14:textId="77777777" w:rsidR="00C2649A" w:rsidRDefault="00C2649A">
      <w:pPr>
        <w:pStyle w:val="Heading1"/>
        <w:jc w:val="both"/>
      </w:pPr>
    </w:p>
    <w:p w14:paraId="2B968ACF" w14:textId="2CF75280" w:rsidR="00C2649A" w:rsidRPr="009A1B27" w:rsidRDefault="00735359">
      <w:pPr>
        <w:pStyle w:val="Heading1"/>
        <w:jc w:val="both"/>
        <w:rPr>
          <w:color w:val="000000" w:themeColor="text1"/>
        </w:rPr>
      </w:pPr>
      <w:r w:rsidRPr="009A1B27">
        <w:rPr>
          <w:rStyle w:val="Strong"/>
          <w:b/>
          <w:color w:val="000000" w:themeColor="text1"/>
        </w:rPr>
        <w:t>1.7</w:t>
      </w:r>
      <w:r>
        <w:rPr>
          <w:rStyle w:val="Strong"/>
          <w:b/>
        </w:rPr>
        <w:t xml:space="preserve"> </w:t>
      </w:r>
      <w:r w:rsidRPr="009A1B27">
        <w:rPr>
          <w:rStyle w:val="Strong"/>
          <w:b/>
          <w:color w:val="000000" w:themeColor="text1"/>
        </w:rPr>
        <w:t>Significance of the Study</w:t>
      </w:r>
    </w:p>
    <w:p w14:paraId="4957FE91" w14:textId="77777777" w:rsidR="00C2649A" w:rsidRPr="009A1B27" w:rsidRDefault="00735359">
      <w:pPr>
        <w:pStyle w:val="Heading1"/>
        <w:jc w:val="both"/>
        <w:rPr>
          <w:color w:val="000000" w:themeColor="text1"/>
          <w:sz w:val="24"/>
        </w:rPr>
      </w:pPr>
      <w:r w:rsidRPr="009A1B27">
        <w:rPr>
          <w:rStyle w:val="Strong"/>
          <w:color w:val="000000" w:themeColor="text1"/>
          <w:sz w:val="24"/>
        </w:rPr>
        <w:t>This study addresses a significant gap in contemporary biblical scholarship by investigating whether ministerial retirement policies are rooted in explicit biblical mandates or are purely administrative governance decisions. It accomplishes this through an exegetical and theological evaluation of Numbers 8:23–26 in the context of the New Covenant.</w:t>
      </w:r>
    </w:p>
    <w:p w14:paraId="26141956" w14:textId="2724B7E4" w:rsidR="00C2649A" w:rsidRPr="009A1B27" w:rsidRDefault="00735359">
      <w:pPr>
        <w:pStyle w:val="Heading1"/>
        <w:jc w:val="both"/>
        <w:rPr>
          <w:color w:val="000000" w:themeColor="text1"/>
          <w:sz w:val="24"/>
        </w:rPr>
      </w:pPr>
      <w:r w:rsidRPr="009A1B27">
        <w:rPr>
          <w:rStyle w:val="Strong"/>
          <w:b/>
          <w:color w:val="000000" w:themeColor="text1"/>
          <w:sz w:val="24"/>
        </w:rPr>
        <w:t>Covenant Continuity and Discontinuity.</w:t>
      </w:r>
      <w:r w:rsidRPr="009A1B27">
        <w:rPr>
          <w:rStyle w:val="Strong"/>
          <w:color w:val="000000" w:themeColor="text1"/>
          <w:sz w:val="24"/>
        </w:rPr>
        <w:t xml:space="preserve"> The research advances biblical and theological understanding of how the Mosaic and New Covenants intersect regarding ministerial service. It specifically </w:t>
      </w:r>
      <w:proofErr w:type="spellStart"/>
      <w:r w:rsidRPr="009A1B27">
        <w:rPr>
          <w:rStyle w:val="Strong"/>
          <w:color w:val="000000" w:themeColor="text1"/>
          <w:sz w:val="24"/>
        </w:rPr>
        <w:t>analyzes</w:t>
      </w:r>
      <w:proofErr w:type="spellEnd"/>
      <w:r w:rsidRPr="009A1B27">
        <w:rPr>
          <w:rStyle w:val="Strong"/>
          <w:color w:val="000000" w:themeColor="text1"/>
          <w:sz w:val="24"/>
        </w:rPr>
        <w:t xml:space="preserve"> whether Levitical retirement rules were temporary laws meant only for Israel’s ancient sanctuary or enduring principles that apply to modern Christian pastors.</w:t>
      </w:r>
    </w:p>
    <w:p w14:paraId="251C6AB0" w14:textId="46AF72EE" w:rsidR="00C2649A" w:rsidRPr="009A1B27" w:rsidRDefault="00735359">
      <w:pPr>
        <w:pStyle w:val="Heading1"/>
        <w:jc w:val="both"/>
        <w:rPr>
          <w:color w:val="000000" w:themeColor="text1"/>
          <w:sz w:val="24"/>
        </w:rPr>
      </w:pPr>
      <w:r w:rsidRPr="009A1B27">
        <w:rPr>
          <w:rStyle w:val="Strong"/>
          <w:b/>
          <w:color w:val="000000" w:themeColor="text1"/>
          <w:sz w:val="24"/>
        </w:rPr>
        <w:t>Framework for Church Policy and Governance.</w:t>
      </w:r>
      <w:r w:rsidRPr="009A1B27">
        <w:rPr>
          <w:rStyle w:val="Strong"/>
          <w:color w:val="000000" w:themeColor="text1"/>
          <w:sz w:val="24"/>
        </w:rPr>
        <w:t xml:space="preserve"> The findings offer a biblically informed framework for denominational leaders to objectively evaluate retirement policies by separating divine mandates from flexible administrative regulations. This allows church constitutions to respect biblical authority while managing practical needs like leadership succession and institutional effectiveness.</w:t>
      </w:r>
    </w:p>
    <w:p w14:paraId="4E35A359" w14:textId="77777777" w:rsidR="00C2649A" w:rsidRPr="009A1B27" w:rsidRDefault="00735359">
      <w:pPr>
        <w:pStyle w:val="Heading1"/>
        <w:jc w:val="both"/>
        <w:rPr>
          <w:color w:val="000000" w:themeColor="text1"/>
          <w:sz w:val="24"/>
        </w:rPr>
      </w:pPr>
      <w:r w:rsidRPr="009A1B27">
        <w:rPr>
          <w:rStyle w:val="Strong"/>
          <w:b/>
          <w:color w:val="000000" w:themeColor="text1"/>
          <w:sz w:val="24"/>
        </w:rPr>
        <w:t>Specific Significance to the Malawi Assemblies of God (MAG)</w:t>
      </w:r>
    </w:p>
    <w:p w14:paraId="78750EC3" w14:textId="53D8EAC7" w:rsidR="00C2649A" w:rsidRPr="009A1B27" w:rsidRDefault="00735359">
      <w:pPr>
        <w:pStyle w:val="Heading1"/>
        <w:jc w:val="both"/>
        <w:rPr>
          <w:color w:val="000000" w:themeColor="text1"/>
          <w:sz w:val="24"/>
        </w:rPr>
      </w:pPr>
      <w:r w:rsidRPr="009A1B27">
        <w:rPr>
          <w:rStyle w:val="Strong"/>
          <w:color w:val="000000" w:themeColor="text1"/>
          <w:sz w:val="24"/>
        </w:rPr>
        <w:t>The research provides the Malawi Assemblies of God Church with an opportunity for targeted theological reflection on its own constitutional retirement provisions. It serves as an active resource for future constitutional reviews, ministerial training programs, and denominational leadership development.</w:t>
      </w:r>
    </w:p>
    <w:p w14:paraId="2C504AD1" w14:textId="43B3B7B9" w:rsidR="00C2649A" w:rsidRPr="009A1B27" w:rsidRDefault="00735359">
      <w:pPr>
        <w:pStyle w:val="Heading1"/>
        <w:jc w:val="both"/>
        <w:rPr>
          <w:color w:val="000000" w:themeColor="text1"/>
          <w:sz w:val="24"/>
        </w:rPr>
      </w:pPr>
      <w:r w:rsidRPr="009A1B27">
        <w:rPr>
          <w:rStyle w:val="Strong"/>
          <w:b/>
          <w:color w:val="000000" w:themeColor="text1"/>
          <w:sz w:val="24"/>
        </w:rPr>
        <w:t xml:space="preserve">Benefits to Theological Education. </w:t>
      </w:r>
      <w:r w:rsidRPr="009A1B27">
        <w:rPr>
          <w:rStyle w:val="Strong"/>
          <w:color w:val="000000" w:themeColor="text1"/>
          <w:sz w:val="24"/>
        </w:rPr>
        <w:t>The study enhances academic training within Bible colleges and seminaries by clarifying the relationship between Old Testament structures and New Testament ministry. Additionally, it highlights how grammatical-historical exegesis can be used as a practical tool to resolve contemporary ecclesiastical problems.</w:t>
      </w:r>
    </w:p>
    <w:p w14:paraId="4F2D166B" w14:textId="609C0F78" w:rsidR="00C2649A" w:rsidRPr="009A1B27" w:rsidRDefault="00735359">
      <w:pPr>
        <w:pStyle w:val="Heading1"/>
        <w:jc w:val="both"/>
        <w:rPr>
          <w:color w:val="000000" w:themeColor="text1"/>
          <w:sz w:val="24"/>
        </w:rPr>
      </w:pPr>
      <w:r w:rsidRPr="009A1B27">
        <w:rPr>
          <w:rStyle w:val="Strong"/>
          <w:b/>
          <w:color w:val="000000" w:themeColor="text1"/>
          <w:sz w:val="24"/>
        </w:rPr>
        <w:lastRenderedPageBreak/>
        <w:t>Broader Ecumenical Dialogue.</w:t>
      </w:r>
      <w:r w:rsidRPr="009A1B27">
        <w:rPr>
          <w:rStyle w:val="Strong"/>
          <w:color w:val="000000" w:themeColor="text1"/>
          <w:sz w:val="24"/>
        </w:rPr>
        <w:t xml:space="preserve"> The research extends its utility beyond a single denomination to foster wider ecumenical conversations on pastoral retirement. By providing a unified framework, it encourages different Christian traditions to rethink how they balance biblical authority with practical church administration.</w:t>
      </w:r>
    </w:p>
    <w:p w14:paraId="0FC1F060" w14:textId="77777777" w:rsidR="00C2649A" w:rsidRPr="009A1B27" w:rsidRDefault="00735359">
      <w:pPr>
        <w:pStyle w:val="Heading1"/>
        <w:jc w:val="both"/>
        <w:rPr>
          <w:color w:val="000000" w:themeColor="text1"/>
          <w:sz w:val="24"/>
        </w:rPr>
      </w:pPr>
      <w:r w:rsidRPr="009A1B27">
        <w:rPr>
          <w:rStyle w:val="Strong"/>
          <w:b/>
          <w:color w:val="000000" w:themeColor="text1"/>
          <w:sz w:val="24"/>
        </w:rPr>
        <w:t>Foundation for Future Academic Research.</w:t>
      </w:r>
      <w:r w:rsidRPr="009A1B27">
        <w:rPr>
          <w:rStyle w:val="Strong"/>
          <w:color w:val="000000" w:themeColor="text1"/>
          <w:sz w:val="24"/>
        </w:rPr>
        <w:t xml:space="preserve"> The study establishes an academic baseline for future researchers by investigating an overlooked niche in theology. While general pastoral care and governance are widely researched, this paper builds a foundation for deeper study into Numbers 8:23–26 and the application of Old Testament law to modern Christianity.</w:t>
      </w:r>
    </w:p>
    <w:p w14:paraId="1E2F3CC3" w14:textId="77777777" w:rsidR="00C2649A" w:rsidRDefault="00C2649A">
      <w:pPr>
        <w:pStyle w:val="Heading1"/>
        <w:jc w:val="both"/>
      </w:pPr>
    </w:p>
    <w:p w14:paraId="153ACCEC" w14:textId="77777777" w:rsidR="00C2649A" w:rsidRDefault="00C2649A">
      <w:pPr>
        <w:pStyle w:val="NormalWeb"/>
        <w:jc w:val="both"/>
        <w:rPr>
          <w:highlight w:val="cyan"/>
        </w:rPr>
      </w:pPr>
    </w:p>
    <w:p w14:paraId="0BD44989" w14:textId="77777777" w:rsidR="00C2649A" w:rsidRDefault="007E2034">
      <w:pPr>
        <w:jc w:val="both"/>
      </w:pPr>
      <w:r>
        <w:rPr>
          <w:noProof/>
        </w:rPr>
      </w:r>
      <w:r w:rsidR="007E2034">
        <w:rPr>
          <w:noProof/>
        </w:rPr>
        <w:pict>
          <v:rect id="_x0000_i1029" style="width:6in;height:1.5pt" o:hralign="center" o:hrstd="t" o:hr="t" fillcolor="#a0a0a0" stroked="f"/>
        </w:pict>
      </w:r>
    </w:p>
    <w:p w14:paraId="6A15D167" w14:textId="77777777" w:rsidR="00C2649A" w:rsidRPr="009A1B27" w:rsidRDefault="00735359">
      <w:pPr>
        <w:pStyle w:val="Heading2"/>
        <w:jc w:val="both"/>
        <w:rPr>
          <w:color w:val="000000" w:themeColor="text1"/>
        </w:rPr>
      </w:pPr>
      <w:r w:rsidRPr="009A1B27">
        <w:rPr>
          <w:rStyle w:val="Strong"/>
          <w:b/>
          <w:color w:val="000000" w:themeColor="text1"/>
        </w:rPr>
        <w:t>Footnotes</w:t>
      </w:r>
    </w:p>
    <w:p w14:paraId="620F44F1" w14:textId="77777777" w:rsidR="00C2649A" w:rsidRDefault="00735359">
      <w:pPr>
        <w:pStyle w:val="NormalWeb"/>
        <w:jc w:val="both"/>
      </w:pPr>
      <w:r>
        <w:t xml:space="preserve">[1] John S. Hammett, </w:t>
      </w:r>
      <w:r>
        <w:rPr>
          <w:rStyle w:val="Emphasis"/>
        </w:rPr>
        <w:t>Biblical Foundations for Baptist Churches: A Contemporary Ecclesiology</w:t>
      </w:r>
      <w:r>
        <w:t xml:space="preserve">, 2nd ed. (Grand Rapids, MI: </w:t>
      </w:r>
      <w:proofErr w:type="spellStart"/>
      <w:r>
        <w:t>Kregel</w:t>
      </w:r>
      <w:proofErr w:type="spellEnd"/>
      <w:r>
        <w:t xml:space="preserve"> Academic, 2019), 229–241.</w:t>
      </w:r>
    </w:p>
    <w:p w14:paraId="7ED4BA4C" w14:textId="77777777" w:rsidR="00C2649A" w:rsidRDefault="00735359">
      <w:pPr>
        <w:pStyle w:val="NormalWeb"/>
        <w:jc w:val="both"/>
      </w:pPr>
      <w:r>
        <w:t xml:space="preserve">[2] Thomas R. Schreiner, </w:t>
      </w:r>
      <w:r>
        <w:rPr>
          <w:rStyle w:val="Emphasis"/>
        </w:rPr>
        <w:t>40 Questions About Christians and Biblical Law</w:t>
      </w:r>
      <w:r>
        <w:t xml:space="preserve"> (Grand Rapids, MI: </w:t>
      </w:r>
      <w:proofErr w:type="spellStart"/>
      <w:r>
        <w:t>Kregel</w:t>
      </w:r>
      <w:proofErr w:type="spellEnd"/>
      <w:r>
        <w:t xml:space="preserve"> Academic, 2010), 159–183.</w:t>
      </w:r>
    </w:p>
    <w:p w14:paraId="41FBF344" w14:textId="77777777" w:rsidR="00C2649A" w:rsidRDefault="00735359">
      <w:pPr>
        <w:pStyle w:val="NormalWeb"/>
        <w:jc w:val="both"/>
      </w:pPr>
      <w:r>
        <w:t xml:space="preserve">[3] Alexander </w:t>
      </w:r>
      <w:proofErr w:type="spellStart"/>
      <w:r>
        <w:t>Strauch</w:t>
      </w:r>
      <w:proofErr w:type="spellEnd"/>
      <w:r>
        <w:t xml:space="preserve">, </w:t>
      </w:r>
      <w:r>
        <w:rPr>
          <w:rStyle w:val="Emphasis"/>
        </w:rPr>
        <w:t>Biblical Eldership: An Urgent Call to Restore Biblical Church Leadership</w:t>
      </w:r>
      <w:r>
        <w:t>, 4th ed. (Littleton, CO: Lewis &amp; Roth, 2017), 25–63.</w:t>
      </w:r>
    </w:p>
    <w:p w14:paraId="79B042B4" w14:textId="77777777" w:rsidR="00C2649A" w:rsidRDefault="00735359">
      <w:pPr>
        <w:pStyle w:val="NormalWeb"/>
        <w:jc w:val="both"/>
      </w:pPr>
      <w:r>
        <w:t xml:space="preserve">[4] Gregg R. Allison, </w:t>
      </w:r>
      <w:r>
        <w:rPr>
          <w:rStyle w:val="Emphasis"/>
        </w:rPr>
        <w:t>Sojourners and Strangers: The Doctrine of the Church</w:t>
      </w:r>
      <w:r>
        <w:t xml:space="preserve"> (Wheaton, IL: Crossway, 2012), 353–366.</w:t>
      </w:r>
    </w:p>
    <w:p w14:paraId="79FBECC5" w14:textId="77777777" w:rsidR="00C2649A" w:rsidRDefault="00735359">
      <w:pPr>
        <w:pStyle w:val="NormalWeb"/>
        <w:jc w:val="both"/>
      </w:pPr>
      <w:r>
        <w:t xml:space="preserve">[5] Malawi Assemblies of God Church, </w:t>
      </w:r>
      <w:r>
        <w:rPr>
          <w:rStyle w:val="Emphasis"/>
        </w:rPr>
        <w:t>Constitution of the Malawi Assemblies of God Church</w:t>
      </w:r>
      <w:r>
        <w:t xml:space="preserve"> (Lilongwe: Malawi Assemblies of God Church, current edition), section on ministerial retirement.</w:t>
      </w:r>
    </w:p>
    <w:p w14:paraId="50B74BA9" w14:textId="77777777" w:rsidR="00C2649A" w:rsidRDefault="00735359">
      <w:pPr>
        <w:pStyle w:val="NormalWeb"/>
        <w:jc w:val="both"/>
      </w:pPr>
      <w:r>
        <w:t xml:space="preserve">[6] Grant R. Osborne, </w:t>
      </w:r>
      <w:r>
        <w:rPr>
          <w:rStyle w:val="Emphasis"/>
        </w:rPr>
        <w:t>The Hermeneutical Spiral: A Comprehensive Introduction to Biblical Interpretation</w:t>
      </w:r>
      <w:r>
        <w:t>, 2nd ed. (Downers Grove, IL: IVP Academic, 2006), 21–45.</w:t>
      </w:r>
    </w:p>
    <w:p w14:paraId="22DE633F" w14:textId="77777777" w:rsidR="00C2649A" w:rsidRDefault="00735359">
      <w:pPr>
        <w:pStyle w:val="NormalWeb"/>
        <w:jc w:val="both"/>
      </w:pPr>
      <w:r>
        <w:t xml:space="preserve">[7] Craig L. </w:t>
      </w:r>
      <w:proofErr w:type="spellStart"/>
      <w:r>
        <w:t>Blomberg</w:t>
      </w:r>
      <w:proofErr w:type="spellEnd"/>
      <w:r>
        <w:t xml:space="preserve">, </w:t>
      </w:r>
      <w:r>
        <w:rPr>
          <w:rStyle w:val="Emphasis"/>
        </w:rPr>
        <w:t>A Handbook of New Testament Exegesis</w:t>
      </w:r>
      <w:r>
        <w:t>, 2nd ed. (Grand Rapids, MI: Baker Academic, 2010), 17–31.</w:t>
      </w:r>
    </w:p>
    <w:p w14:paraId="48921AFD" w14:textId="77777777" w:rsidR="00C2649A" w:rsidRDefault="00C2649A">
      <w:pPr>
        <w:pStyle w:val="Heading1"/>
        <w:jc w:val="both"/>
      </w:pPr>
    </w:p>
    <w:p w14:paraId="2822311B" w14:textId="77777777" w:rsidR="00C2649A" w:rsidRPr="00A417D9" w:rsidRDefault="00735359">
      <w:pPr>
        <w:pStyle w:val="Heading1"/>
        <w:jc w:val="both"/>
        <w:rPr>
          <w:color w:val="000000" w:themeColor="text1"/>
        </w:rPr>
      </w:pPr>
      <w:r w:rsidRPr="00A417D9">
        <w:rPr>
          <w:rStyle w:val="Strong"/>
          <w:b/>
          <w:color w:val="000000" w:themeColor="text1"/>
        </w:rPr>
        <w:t>1.8 Scope and Delimitation of the Study</w:t>
      </w:r>
    </w:p>
    <w:p w14:paraId="42C2A071" w14:textId="77777777" w:rsidR="00C2649A" w:rsidRDefault="00735359">
      <w:pPr>
        <w:pStyle w:val="NormalWeb"/>
        <w:jc w:val="both"/>
      </w:pPr>
      <w:r>
        <w:lastRenderedPageBreak/>
        <w:t>This study is limited to an exegetical and theological investigation of ministerial retirement under the New Covenant, with primary emphasis on the interpretation of Numbers 8:23–26 and its relevance to contemporary pastoral ministry. The research examines the historical, literary, grammatical, and theological context of the Numbers passage in order to establish the original purpose of the Levitical retirement regulation and to determine whether its provisions possess continuing normative authority for Chri</w:t>
      </w:r>
      <w:r>
        <w:t>stian ministers serving under the New Covenant.[1]</w:t>
      </w:r>
    </w:p>
    <w:p w14:paraId="3F91DB67" w14:textId="77777777" w:rsidR="00C2649A" w:rsidRDefault="00C2649A">
      <w:pPr>
        <w:pStyle w:val="NormalWeb"/>
        <w:jc w:val="both"/>
      </w:pPr>
    </w:p>
    <w:p w14:paraId="599ADBC7" w14:textId="77777777" w:rsidR="00C2649A" w:rsidRDefault="00735359">
      <w:pPr>
        <w:pStyle w:val="NormalWeb"/>
        <w:jc w:val="both"/>
      </w:pPr>
      <w:r>
        <w:t>The scope of the study extends beyond the Old Testament by examining the New Testament's understanding of priesthood and pastoral ministry. Particular attention is given to Hebrews 7:11–16 because of its teaching concerning the change of priesthood and the corresponding change of the legal framework governing priestly ministry.[2] Additional New Testament passages relating to church leadership, including qualifications for elders, overseers, and pastors, will also be examined to determine whether the New Co</w:t>
      </w:r>
      <w:r>
        <w:t>venant establishes a mandatory retirement age for Christian ministers.[3] These passages will be interpreted within their literary and theological contexts using the grammatical-historical method of exegesis and principles of biblical theology.</w:t>
      </w:r>
    </w:p>
    <w:p w14:paraId="24EE4792" w14:textId="77777777" w:rsidR="00C2649A" w:rsidRDefault="00C2649A">
      <w:pPr>
        <w:pStyle w:val="NormalWeb"/>
        <w:jc w:val="both"/>
      </w:pPr>
    </w:p>
    <w:p w14:paraId="643C838E" w14:textId="77777777" w:rsidR="00C2649A" w:rsidRDefault="00735359">
      <w:pPr>
        <w:pStyle w:val="NormalWeb"/>
        <w:jc w:val="both"/>
      </w:pPr>
      <w:r>
        <w:t>The study further evaluates the ministerial retirement policy contained in the Constitution of the Malawi Assemblies of God Church as a practical case study. The denomination has been selected because it provides a clearly defined constitutional retirement age for pastors, thereby offering an appropriate context within which to assess the relationship between biblical teaching and contemporary ecclesiastical policy. The evaluation is not intended to criticize or defend the denomination's constitutional prov</w:t>
      </w:r>
      <w:r>
        <w:t>isions but rather to assess them in the light of the exegetical and theological findings derived from Scripture.[4]</w:t>
      </w:r>
    </w:p>
    <w:p w14:paraId="008FBE6C" w14:textId="77777777" w:rsidR="00C2649A" w:rsidRDefault="00C2649A">
      <w:pPr>
        <w:pStyle w:val="NormalWeb"/>
        <w:jc w:val="both"/>
      </w:pPr>
    </w:p>
    <w:p w14:paraId="2588F4ED" w14:textId="77777777" w:rsidR="00C2649A" w:rsidRDefault="00735359">
      <w:pPr>
        <w:pStyle w:val="NormalWeb"/>
        <w:jc w:val="both"/>
      </w:pPr>
      <w:r>
        <w:t xml:space="preserve">This research is limited to the biblical and theological dimensions of ministerial retirement. Consequently, it does not undertake a sociological, psychological, economic, medical, or legal analysis of retirement. Issues such as clergy pensions, financial security after retirement, healthcare, life expectancy, </w:t>
      </w:r>
      <w:proofErr w:type="spellStart"/>
      <w:r>
        <w:t>labour</w:t>
      </w:r>
      <w:proofErr w:type="spellEnd"/>
      <w:r>
        <w:t xml:space="preserve"> legislation, human resource management, or denominational employment policies fall outside the scope of this study except where they are necessary to explain the practical context of church administration.</w:t>
      </w:r>
    </w:p>
    <w:p w14:paraId="1228EAB7" w14:textId="77777777" w:rsidR="00C2649A" w:rsidRDefault="00C2649A">
      <w:pPr>
        <w:pStyle w:val="NormalWeb"/>
        <w:jc w:val="both"/>
      </w:pPr>
    </w:p>
    <w:p w14:paraId="46C11974" w14:textId="77777777" w:rsidR="00C2649A" w:rsidRDefault="00735359">
      <w:pPr>
        <w:pStyle w:val="NormalWeb"/>
        <w:jc w:val="both"/>
      </w:pPr>
      <w:r>
        <w:t>Similarly, the study does not attempt a comparative analysis of retirement policies across multiple Christian denominations. While occasional references may be made to other church traditions for illustrative purposes, the primary denominational focus remains the Malawi Assemblies of God Church. This limitation enables the research to maintain a clear focus while allowing the findings to retain broader theological relevance for churches facing similar questions concerning ministerial retirement.</w:t>
      </w:r>
    </w:p>
    <w:p w14:paraId="78FA445A" w14:textId="77777777" w:rsidR="00C2649A" w:rsidRDefault="00735359">
      <w:pPr>
        <w:pStyle w:val="NormalWeb"/>
        <w:jc w:val="both"/>
      </w:pPr>
      <w:r>
        <w:lastRenderedPageBreak/>
        <w:t>Furthermore, the study is confined to the biblical offices of pastors, elders, and overseers within the New Testament. It does not investigate retirement practices relating to missionaries, evangelists, deacons, bishops serving in non-pastoral administrative capacities, or leaders of parachurch organizations except where such discussion contributes directly to the interpretation of the biblical texts under consideration.</w:t>
      </w:r>
    </w:p>
    <w:p w14:paraId="341D24AF" w14:textId="77777777" w:rsidR="00C2649A" w:rsidRDefault="00C2649A">
      <w:pPr>
        <w:pStyle w:val="NormalWeb"/>
        <w:jc w:val="both"/>
      </w:pPr>
    </w:p>
    <w:p w14:paraId="5D152E4E" w14:textId="77777777" w:rsidR="00C2649A" w:rsidRDefault="00735359">
      <w:pPr>
        <w:pStyle w:val="NormalWeb"/>
        <w:jc w:val="both"/>
      </w:pPr>
      <w:r>
        <w:t>Methodologically, the study employs the grammatical-historical approach to biblical interpretation together with biblical-theological analysis. The research therefore seeks first to establish the meaning intended by the biblical authors within their original historical and literary contexts before considering the theological significance of those findings for Christian ministry under the New Covenant.[5] This approach seeks to avoid both the uncritical transfer of Old Testament regulations into the New Test</w:t>
      </w:r>
      <w:r>
        <w:t>ament church and the unwarranted dismissal of Old Testament legislation without adequate theological justification.</w:t>
      </w:r>
    </w:p>
    <w:p w14:paraId="109E5349" w14:textId="77777777" w:rsidR="00C2649A" w:rsidRDefault="00C2649A">
      <w:pPr>
        <w:pStyle w:val="NormalWeb"/>
        <w:jc w:val="both"/>
      </w:pPr>
    </w:p>
    <w:p w14:paraId="24EDCF0B" w14:textId="77777777" w:rsidR="00C2649A" w:rsidRDefault="00735359">
      <w:pPr>
        <w:pStyle w:val="NormalWeb"/>
        <w:jc w:val="both"/>
      </w:pPr>
      <w:r>
        <w:t xml:space="preserve">Accordingly, the central concern of this study is not to determine whether pastors should retire at a particular age, nor to recommend a universally binding retirement age for all churches. Rather, the study seeks to determine whether the New Testament establishes a divinely mandated retirement age for pastors or whether ministerial retirement should be understood as a matter of ecclesiastical administration guided by biblical wisdom and sound church governance. By maintaining this focus, the research aims </w:t>
      </w:r>
      <w:r>
        <w:t>to distinguish between biblical prescription and denominational policy while remaining faithful to the authority of Scripture.</w:t>
      </w:r>
    </w:p>
    <w:p w14:paraId="522CA353" w14:textId="77777777" w:rsidR="00C2649A" w:rsidRDefault="007E2034">
      <w:pPr>
        <w:jc w:val="both"/>
      </w:pPr>
      <w:r>
        <w:rPr>
          <w:noProof/>
        </w:rPr>
      </w:r>
      <w:r w:rsidR="007E2034">
        <w:rPr>
          <w:noProof/>
        </w:rPr>
        <w:pict>
          <v:rect id="_x0000_i1030" style="width:6in;height:1.5pt" o:hralign="center" o:hrstd="t" o:hr="t" fillcolor="#a0a0a0" stroked="f"/>
        </w:pict>
      </w:r>
    </w:p>
    <w:p w14:paraId="15828830" w14:textId="77777777" w:rsidR="00C2649A" w:rsidRPr="001C13F6" w:rsidRDefault="00735359">
      <w:pPr>
        <w:pStyle w:val="Heading2"/>
        <w:jc w:val="both"/>
        <w:rPr>
          <w:color w:val="000000" w:themeColor="text1"/>
        </w:rPr>
      </w:pPr>
      <w:r w:rsidRPr="001C13F6">
        <w:rPr>
          <w:rStyle w:val="Strong"/>
          <w:b/>
          <w:color w:val="000000" w:themeColor="text1"/>
        </w:rPr>
        <w:t>Footnotes</w:t>
      </w:r>
    </w:p>
    <w:p w14:paraId="4BAF5588" w14:textId="77777777" w:rsidR="00C2649A" w:rsidRDefault="00735359">
      <w:pPr>
        <w:pStyle w:val="NormalWeb"/>
        <w:jc w:val="both"/>
      </w:pPr>
      <w:r>
        <w:t xml:space="preserve">[1] Gordon J. Wenham, </w:t>
      </w:r>
      <w:r>
        <w:rPr>
          <w:rStyle w:val="Emphasis"/>
        </w:rPr>
        <w:t>Numbers: An Introduction and Commentary</w:t>
      </w:r>
      <w:r>
        <w:t xml:space="preserve"> (Downers Grove, IL: IVP Academic, 2008), 104–107.</w:t>
      </w:r>
    </w:p>
    <w:p w14:paraId="20710FCF" w14:textId="77777777" w:rsidR="00C2649A" w:rsidRDefault="00735359">
      <w:pPr>
        <w:pStyle w:val="NormalWeb"/>
        <w:jc w:val="both"/>
      </w:pPr>
      <w:r>
        <w:t xml:space="preserve">[2] William L. Lane, </w:t>
      </w:r>
      <w:r>
        <w:rPr>
          <w:rStyle w:val="Emphasis"/>
        </w:rPr>
        <w:t>Hebrews 1–8</w:t>
      </w:r>
      <w:r>
        <w:t>, Word Biblical Commentary, Vol. 47A (Dallas, TX: Word Books, 1991), 177–184.</w:t>
      </w:r>
    </w:p>
    <w:p w14:paraId="2C784407" w14:textId="77777777" w:rsidR="00C2649A" w:rsidRDefault="00735359">
      <w:pPr>
        <w:pStyle w:val="NormalWeb"/>
        <w:jc w:val="both"/>
      </w:pPr>
      <w:r>
        <w:t xml:space="preserve">[3] George W. Knight III, </w:t>
      </w:r>
      <w:r>
        <w:rPr>
          <w:rStyle w:val="Emphasis"/>
        </w:rPr>
        <w:t>The Pastoral Epistles</w:t>
      </w:r>
      <w:r>
        <w:t>, New International Greek Testament Commentary (Grand Rapids, MI: Eerdmans, 1992), 154–201.</w:t>
      </w:r>
    </w:p>
    <w:p w14:paraId="1CD6937E" w14:textId="77777777" w:rsidR="00C2649A" w:rsidRDefault="00735359">
      <w:pPr>
        <w:pStyle w:val="NormalWeb"/>
        <w:jc w:val="both"/>
      </w:pPr>
      <w:r>
        <w:t xml:space="preserve">[4] Malawi Assemblies of God Church, </w:t>
      </w:r>
      <w:r>
        <w:rPr>
          <w:rStyle w:val="Emphasis"/>
        </w:rPr>
        <w:t>Constitution of the Malawi Assemblies of God Church</w:t>
      </w:r>
      <w:r>
        <w:t xml:space="preserve"> (Lilongwe: Malawi Assemblies of God Church, current edition), section on ministerial retirement.</w:t>
      </w:r>
    </w:p>
    <w:p w14:paraId="6EE4FF2B" w14:textId="77777777" w:rsidR="00C2649A" w:rsidRDefault="00735359">
      <w:pPr>
        <w:pStyle w:val="NormalWeb"/>
        <w:jc w:val="both"/>
      </w:pPr>
      <w:r>
        <w:t xml:space="preserve">[5] Grant R. Osborne, </w:t>
      </w:r>
      <w:r>
        <w:rPr>
          <w:rStyle w:val="Emphasis"/>
        </w:rPr>
        <w:t>The Hermeneutical Spiral: A Comprehensive Introduction to Biblical Interpretation</w:t>
      </w:r>
      <w:r>
        <w:t>, 2nd ed. (Downers Grove, IL: IVP Academic, 2006), 21–45.</w:t>
      </w:r>
    </w:p>
    <w:p w14:paraId="621E0FE0" w14:textId="77777777" w:rsidR="00C2649A" w:rsidRPr="0028299A" w:rsidRDefault="00735359">
      <w:pPr>
        <w:pStyle w:val="Heading2"/>
        <w:jc w:val="both"/>
        <w:rPr>
          <w:color w:val="000000" w:themeColor="text1"/>
        </w:rPr>
      </w:pPr>
      <w:r w:rsidRPr="0028299A">
        <w:rPr>
          <w:color w:val="000000" w:themeColor="text1"/>
        </w:rPr>
        <w:t>1.9</w:t>
      </w:r>
      <w:r>
        <w:t xml:space="preserve"> </w:t>
      </w:r>
      <w:r w:rsidRPr="0028299A">
        <w:rPr>
          <w:color w:val="000000" w:themeColor="text1"/>
        </w:rPr>
        <w:t>Conceptual Framework</w:t>
      </w:r>
    </w:p>
    <w:p w14:paraId="3653FCEF" w14:textId="77777777" w:rsidR="00C2649A" w:rsidRPr="0028299A" w:rsidRDefault="00735359">
      <w:pPr>
        <w:pStyle w:val="Heading3"/>
        <w:jc w:val="both"/>
        <w:rPr>
          <w:color w:val="000000" w:themeColor="text1"/>
        </w:rPr>
      </w:pPr>
      <w:r w:rsidRPr="0028299A">
        <w:rPr>
          <w:color w:val="000000" w:themeColor="text1"/>
        </w:rPr>
        <w:lastRenderedPageBreak/>
        <w:t>1.9.1 Introduction</w:t>
      </w:r>
    </w:p>
    <w:p w14:paraId="4F1B40A1" w14:textId="77777777" w:rsidR="00C2649A" w:rsidRDefault="00C2649A">
      <w:pPr>
        <w:pStyle w:val="NormalWeb"/>
        <w:jc w:val="both"/>
      </w:pPr>
    </w:p>
    <w:p w14:paraId="638B383A" w14:textId="77777777" w:rsidR="00C2649A" w:rsidRDefault="00735359">
      <w:pPr>
        <w:pStyle w:val="NormalWeb"/>
        <w:jc w:val="both"/>
      </w:pPr>
      <w:r>
        <w:t xml:space="preserve">The present study is </w:t>
      </w:r>
      <w:proofErr w:type="spellStart"/>
      <w:r>
        <w:t>centred</w:t>
      </w:r>
      <w:proofErr w:type="spellEnd"/>
      <w:r>
        <w:t xml:space="preserve"> on the relationship between the Levitical retirement regulations prescribed in Numbers 8:23–26 and the practice of pastoral retirement under the New Covenant. Specifically, it seeks to determine whether the retirement provisions that governed the Levitical priesthood were intended as permanent principles applicable to Christian ministers or whether they were covenant-specific regulations fulfilled with the passing of the Mosaic administration. Consequently, the conceptual framework is built upon the</w:t>
      </w:r>
      <w:r>
        <w:t xml:space="preserve"> movement from biblical text, to exegetical interpretation, to theological evaluation, and finally to contemporary ecclesiastical practice within the Malawi Assemblies of God Church.</w:t>
      </w:r>
    </w:p>
    <w:p w14:paraId="6EF8FDCE" w14:textId="77777777" w:rsidR="00C2649A" w:rsidRDefault="00C2649A">
      <w:pPr>
        <w:pStyle w:val="NormalWeb"/>
        <w:jc w:val="both"/>
      </w:pPr>
    </w:p>
    <w:p w14:paraId="612DC7E3" w14:textId="77777777" w:rsidR="00C2649A" w:rsidRPr="00A365FD" w:rsidRDefault="00735359">
      <w:pPr>
        <w:pStyle w:val="Heading3"/>
        <w:jc w:val="both"/>
        <w:rPr>
          <w:color w:val="000000" w:themeColor="text1"/>
        </w:rPr>
      </w:pPr>
      <w:r w:rsidRPr="00A365FD">
        <w:rPr>
          <w:color w:val="000000" w:themeColor="text1"/>
        </w:rPr>
        <w:t>1.9.2 The Major Concepts of the Study</w:t>
      </w:r>
    </w:p>
    <w:p w14:paraId="345A39A4" w14:textId="77777777" w:rsidR="00C2649A" w:rsidRDefault="00735359">
      <w:pPr>
        <w:pStyle w:val="NormalWeb"/>
        <w:jc w:val="both"/>
      </w:pPr>
      <w:r w:rsidRPr="00A365FD">
        <w:rPr>
          <w:color w:val="000000" w:themeColor="text1"/>
        </w:rPr>
        <w:t xml:space="preserve">The first concept is </w:t>
      </w:r>
      <w:r w:rsidRPr="00A365FD">
        <w:rPr>
          <w:rStyle w:val="Strong"/>
          <w:color w:val="000000" w:themeColor="text1"/>
        </w:rPr>
        <w:t>Levitical retireme</w:t>
      </w:r>
      <w:r>
        <w:rPr>
          <w:rStyle w:val="Strong"/>
        </w:rPr>
        <w:t>nt</w:t>
      </w:r>
      <w:r>
        <w:t>, which refers to the divinely instituted regulations governing the commencement and cessation of Levitical service as recorded in Numbers 8:23–26. These regulations formed part of Israel's covenantal worship system and defined the age at which Levites entered active service and the point at which they were required to withdraw from their regular duties.²</w:t>
      </w:r>
    </w:p>
    <w:p w14:paraId="04620AD2" w14:textId="77777777" w:rsidR="00C2649A" w:rsidRDefault="00735359">
      <w:pPr>
        <w:pStyle w:val="NormalWeb"/>
        <w:jc w:val="both"/>
      </w:pPr>
      <w:r>
        <w:t xml:space="preserve">The second concept is </w:t>
      </w:r>
      <w:r>
        <w:rPr>
          <w:rStyle w:val="Strong"/>
        </w:rPr>
        <w:t>ministerial retirement under the New Covenant</w:t>
      </w:r>
      <w:r>
        <w:t>. Unlike the Old Testament, the New Testament contains no explicit legislation prescribing a mandatory retirement age for pastors, elders, or overseers. Instead, emphasis is placed upon spiritual maturity, doctrinal soundness, moral integrity, and faithful stewardship of ministry responsibilities.³ The study therefore investigates whether New Covenant ministry establishes principles that either support or supersede the retirement pattern found within the Levitica</w:t>
      </w:r>
      <w:r>
        <w:t>l system.</w:t>
      </w:r>
    </w:p>
    <w:p w14:paraId="4045BD48" w14:textId="77777777" w:rsidR="00C2649A" w:rsidRDefault="00735359">
      <w:pPr>
        <w:pStyle w:val="NormalWeb"/>
        <w:jc w:val="both"/>
      </w:pPr>
      <w:r>
        <w:t xml:space="preserve">The third concept is </w:t>
      </w:r>
      <w:r>
        <w:rPr>
          <w:rStyle w:val="Strong"/>
        </w:rPr>
        <w:t>biblical exegesis</w:t>
      </w:r>
      <w:r>
        <w:t>. Exegesis involves the careful interpretation of Scripture by examining its grammatical structure, historical background, literary context, and theological message.⁴ Through exegetical analysis, the study seeks to establish the original purpose of Numbers 8:23–26 before considering its relevance for contemporary Christian ministry.</w:t>
      </w:r>
    </w:p>
    <w:p w14:paraId="4E7B4653" w14:textId="77777777" w:rsidR="00C2649A" w:rsidRDefault="00735359">
      <w:pPr>
        <w:pStyle w:val="NormalWeb"/>
        <w:jc w:val="both"/>
      </w:pPr>
      <w:r>
        <w:t xml:space="preserve">The fourth concept is </w:t>
      </w:r>
      <w:r>
        <w:rPr>
          <w:rStyle w:val="Strong"/>
        </w:rPr>
        <w:t>theological evaluation</w:t>
      </w:r>
      <w:r>
        <w:t>. After establishing the meaning of the biblical text, the study examines its significance within the broader framework of biblical theology and New Covenant theology. Particular attention is given to the relationship between the Old and New Covenants, the fulfilment of the Levitical priesthood in Christ, and the New Testament understanding of pastoral ministry.⁵</w:t>
      </w:r>
    </w:p>
    <w:p w14:paraId="6A45CFD1" w14:textId="77777777" w:rsidR="00C2649A" w:rsidRDefault="00735359">
      <w:pPr>
        <w:pStyle w:val="NormalWeb"/>
        <w:jc w:val="both"/>
      </w:pPr>
      <w:r>
        <w:t xml:space="preserve">The fifth concept is </w:t>
      </w:r>
      <w:r>
        <w:rPr>
          <w:rStyle w:val="Strong"/>
        </w:rPr>
        <w:t>pastoral retirement within the Malawi Assemblies of God Church</w:t>
      </w:r>
      <w:r>
        <w:t xml:space="preserve">. This refers to the policies, practices, and theological assumptions that guide the retirement of pastors within the denomination. The study evaluates whether these practices are rooted primarily in biblical teaching, ecclesiastical tradition, </w:t>
      </w:r>
      <w:proofErr w:type="spellStart"/>
      <w:r>
        <w:t>organisational</w:t>
      </w:r>
      <w:proofErr w:type="spellEnd"/>
      <w:r>
        <w:t xml:space="preserve"> policy, or practical considerations.</w:t>
      </w:r>
    </w:p>
    <w:p w14:paraId="134273D3" w14:textId="77777777" w:rsidR="00C2649A" w:rsidRDefault="00C2649A">
      <w:pPr>
        <w:pStyle w:val="NormalWeb"/>
        <w:jc w:val="both"/>
      </w:pPr>
    </w:p>
    <w:p w14:paraId="77621288" w14:textId="77777777" w:rsidR="00C2649A" w:rsidRPr="00A365FD" w:rsidRDefault="00735359">
      <w:pPr>
        <w:pStyle w:val="Heading3"/>
        <w:jc w:val="both"/>
        <w:rPr>
          <w:color w:val="000000" w:themeColor="text1"/>
        </w:rPr>
      </w:pPr>
      <w:r w:rsidRPr="00A365FD">
        <w:rPr>
          <w:color w:val="000000" w:themeColor="text1"/>
        </w:rPr>
        <w:t>1.9.3 Relationship Among the Concepts</w:t>
      </w:r>
    </w:p>
    <w:p w14:paraId="086DE40B" w14:textId="77777777" w:rsidR="00C2649A" w:rsidRDefault="00735359">
      <w:pPr>
        <w:pStyle w:val="NormalWeb"/>
        <w:jc w:val="both"/>
      </w:pPr>
      <w:r w:rsidRPr="00A365FD">
        <w:rPr>
          <w:color w:val="000000" w:themeColor="text1"/>
        </w:rPr>
        <w:t>The concepts identified above are closely int</w:t>
      </w:r>
      <w:r>
        <w:t>erconnected and collectively shape the direction of this research. The investigation begins with the biblical text of Numbers 8:23–26, which provides the historical foundation for understanding Levitical retirement. The passage is then subjected to grammatical-historical exegesis to determine its intended meaning within the Mosaic Covenant.</w:t>
      </w:r>
    </w:p>
    <w:p w14:paraId="7AD23E67" w14:textId="77777777" w:rsidR="00C2649A" w:rsidRDefault="00735359">
      <w:pPr>
        <w:pStyle w:val="NormalWeb"/>
        <w:jc w:val="both"/>
      </w:pPr>
      <w:r>
        <w:t>The exegetical findings are subsequently evaluated within the broader framework of New Covenant theology. This theological assessment examines whether the retirement regulations imposed upon the Levites continue to possess normative authority for Christian ministers following the fulfilment of the Mosaic Covenant in Jesus Christ. The conclusions derived from this theological analysis are then applied to the contemporary context of the Malawi Assemblies of God Church in order to evaluate the biblical basis o</w:t>
      </w:r>
      <w:r>
        <w:t>f its pastoral retirement policy.</w:t>
      </w:r>
    </w:p>
    <w:p w14:paraId="6EB0EF66" w14:textId="77777777" w:rsidR="00C2649A" w:rsidRDefault="00735359">
      <w:pPr>
        <w:pStyle w:val="NormalWeb"/>
        <w:jc w:val="both"/>
      </w:pPr>
      <w:r>
        <w:t>Accordingly, the study follows a logical progression from biblical legislation to theological interpretation and finally to ecclesiastical application. This sequence ensures that any conclusions regarding pastoral retirement are grounded in sound biblical exegesis rather than denominational tradition or administrative practice.</w:t>
      </w:r>
    </w:p>
    <w:p w14:paraId="14DD112C" w14:textId="77777777" w:rsidR="00C2649A" w:rsidRDefault="00C2649A">
      <w:pPr>
        <w:pStyle w:val="NormalWeb"/>
        <w:jc w:val="both"/>
      </w:pPr>
    </w:p>
    <w:p w14:paraId="7FE874DC" w14:textId="77777777" w:rsidR="00C2649A" w:rsidRPr="00A365FD" w:rsidRDefault="00735359">
      <w:pPr>
        <w:pStyle w:val="Heading3"/>
        <w:jc w:val="both"/>
        <w:rPr>
          <w:color w:val="000000" w:themeColor="text1"/>
        </w:rPr>
      </w:pPr>
      <w:r w:rsidRPr="00A365FD">
        <w:rPr>
          <w:color w:val="000000" w:themeColor="text1"/>
        </w:rPr>
        <w:t>1.9.4 Conceptual Framework of the Study (Figure 1.1)</w:t>
      </w:r>
    </w:p>
    <w:p w14:paraId="13D81EC0" w14:textId="77777777" w:rsidR="00C2649A" w:rsidRPr="00A365FD" w:rsidRDefault="00C2649A">
      <w:pPr>
        <w:pStyle w:val="Heading3"/>
        <w:jc w:val="both"/>
        <w:rPr>
          <w:color w:val="000000" w:themeColor="text1"/>
        </w:rPr>
      </w:pPr>
    </w:p>
    <w:p w14:paraId="652064C5" w14:textId="77777777" w:rsidR="00C2649A" w:rsidRDefault="00735359">
      <w:pPr>
        <w:pStyle w:val="HTMLPreformatted"/>
        <w:jc w:val="center"/>
        <w:rPr>
          <w:rStyle w:val="HTMLCode"/>
          <w:rFonts w:ascii="Times New Roman" w:hAnsi="Times New Roman" w:cs="Times New Roman" w:hint="default"/>
        </w:rPr>
      </w:pPr>
      <w:r>
        <w:rPr>
          <w:rStyle w:val="HTMLCode"/>
          <w:rFonts w:ascii="Times New Roman" w:hAnsi="Times New Roman" w:cs="Times New Roman" w:hint="default"/>
        </w:rPr>
        <w:t xml:space="preserve">          </w:t>
      </w:r>
      <w:r>
        <w:rPr>
          <w:rStyle w:val="HTMLCode"/>
          <w:rFonts w:ascii="Times New Roman"/>
          <w:sz w:val="24"/>
        </w:rPr>
        <w:t>Numbers 8:23</w:t>
      </w:r>
      <w:r>
        <w:rPr>
          <w:rStyle w:val="HTMLCode"/>
          <w:rFonts w:ascii="Times New Roman"/>
          <w:sz w:val="24"/>
        </w:rPr>
        <w:t>–</w:t>
      </w:r>
      <w:r>
        <w:rPr>
          <w:rStyle w:val="HTMLCode"/>
          <w:rFonts w:ascii="Times New Roman"/>
          <w:sz w:val="24"/>
        </w:rPr>
        <w:t>26</w:t>
      </w:r>
    </w:p>
    <w:p w14:paraId="26C6BC2D"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(Levitical Retirement Regulation)</w:t>
      </w:r>
    </w:p>
    <w:p w14:paraId="312DBF53"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431196BD"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14D0A45C"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Grammatical-Historical</w:t>
      </w:r>
    </w:p>
    <w:p w14:paraId="233E0CC7"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Exegetical Analysis</w:t>
      </w:r>
    </w:p>
    <w:p w14:paraId="1E7D0058"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3C82DF79"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03C404F2"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Theological Evaluation through</w:t>
      </w:r>
    </w:p>
    <w:p w14:paraId="11FE5F2E"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New Covenant Theology</w:t>
      </w:r>
    </w:p>
    <w:p w14:paraId="66962214"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28A64637"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0DE06381"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New Testament Teaching on Ministry</w:t>
      </w:r>
    </w:p>
    <w:p w14:paraId="74561630"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(Pastors, Elders and Overseers)</w:t>
      </w:r>
    </w:p>
    <w:p w14:paraId="259E36D6"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41AA6BE9"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41FA9E04"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Pastoral Retirement Practices in the</w:t>
      </w:r>
    </w:p>
    <w:p w14:paraId="468CC729"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Malawi Assemblies of God Church</w:t>
      </w:r>
    </w:p>
    <w:p w14:paraId="21C14338"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0E3C6E39"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w:t>
      </w:r>
    </w:p>
    <w:p w14:paraId="3F5D40FF" w14:textId="77777777" w:rsidR="00C2649A" w:rsidRDefault="00735359">
      <w:pPr>
        <w:pStyle w:val="HTMLPreformatted"/>
        <w:jc w:val="center"/>
        <w:rPr>
          <w:rStyle w:val="HTMLCode"/>
          <w:rFonts w:ascii="Times New Roman" w:hAnsi="Times New Roman" w:cs="Times New Roman" w:hint="default"/>
          <w:sz w:val="24"/>
        </w:rPr>
      </w:pPr>
      <w:r>
        <w:rPr>
          <w:rStyle w:val="HTMLCode"/>
          <w:rFonts w:ascii="Times New Roman" w:hAnsi="Times New Roman" w:cs="Times New Roman" w:hint="default"/>
          <w:sz w:val="24"/>
        </w:rPr>
        <w:t xml:space="preserve">     Biblical and Theological Evaluation</w:t>
      </w:r>
    </w:p>
    <w:p w14:paraId="77934AA1" w14:textId="77777777" w:rsidR="00C2649A" w:rsidRDefault="00735359">
      <w:pPr>
        <w:pStyle w:val="HTMLPreformatted"/>
        <w:jc w:val="center"/>
        <w:rPr>
          <w:rFonts w:ascii="Times New Roman" w:hAnsi="Times New Roman" w:hint="default"/>
        </w:rPr>
      </w:pPr>
      <w:r>
        <w:rPr>
          <w:rStyle w:val="HTMLCode"/>
          <w:rFonts w:ascii="Times New Roman" w:hAnsi="Times New Roman" w:cs="Times New Roman" w:hint="default"/>
          <w:sz w:val="24"/>
        </w:rPr>
        <w:t xml:space="preserve">          and Recommendations</w:t>
      </w:r>
    </w:p>
    <w:p w14:paraId="68A2F414" w14:textId="77777777" w:rsidR="00C2649A" w:rsidRDefault="00735359">
      <w:pPr>
        <w:pStyle w:val="NormalWeb"/>
        <w:jc w:val="center"/>
      </w:pPr>
      <w:r>
        <w:rPr>
          <w:rStyle w:val="Strong"/>
        </w:rPr>
        <w:lastRenderedPageBreak/>
        <w:t>Figure 1.1:</w:t>
      </w:r>
      <w:r>
        <w:t xml:space="preserve"> Conceptual Framework of the Study.</w:t>
      </w:r>
    </w:p>
    <w:p w14:paraId="4E7A8B31" w14:textId="77777777" w:rsidR="00C2649A" w:rsidRDefault="00C2649A">
      <w:pPr>
        <w:pStyle w:val="Heading3"/>
        <w:jc w:val="both"/>
      </w:pPr>
    </w:p>
    <w:p w14:paraId="4E3AAE2B" w14:textId="77777777" w:rsidR="00C2649A" w:rsidRPr="00A365FD" w:rsidRDefault="00735359">
      <w:pPr>
        <w:pStyle w:val="Heading3"/>
        <w:jc w:val="both"/>
        <w:rPr>
          <w:color w:val="000000" w:themeColor="text1"/>
        </w:rPr>
      </w:pPr>
      <w:r w:rsidRPr="00A365FD">
        <w:rPr>
          <w:color w:val="000000" w:themeColor="text1"/>
        </w:rPr>
        <w:t>1.9.5 Explanation of the Conceptual Framework</w:t>
      </w:r>
    </w:p>
    <w:p w14:paraId="3C387985" w14:textId="77777777" w:rsidR="00C2649A" w:rsidRDefault="00735359">
      <w:pPr>
        <w:pStyle w:val="NormalWeb"/>
        <w:jc w:val="both"/>
      </w:pPr>
      <w:r>
        <w:t>Figure 1.1 illustrates the conceptual progression that guides this study. The investigation begins with the biblical regulation concerning Levitical retirement in Numbers 8:23–26, which constitutes the primary text under examination. Through grammatical-historical exegesis, the study establishes the original meaning and purpose of the passage within the Mosaic Covenant.</w:t>
      </w:r>
    </w:p>
    <w:p w14:paraId="5D9AAB3F" w14:textId="77777777" w:rsidR="00C2649A" w:rsidRDefault="00735359">
      <w:pPr>
        <w:pStyle w:val="NormalWeb"/>
        <w:jc w:val="both"/>
      </w:pPr>
      <w:r>
        <w:t>The findings of the exegesis are then interpreted through the theological lens of the New Covenant. This stage examines whether the Levitical retirement regulations were temporary covenantal provisions or enduring principles applicable to Christian pastoral ministry. The resulting theological conclusions are subsequently compared with New Testament teaching concerning pastors and elders before being evaluated against the retirement practices of the Malawi Assemblies of God Church.</w:t>
      </w:r>
    </w:p>
    <w:p w14:paraId="11A8781D" w14:textId="77777777" w:rsidR="00C2649A" w:rsidRDefault="00735359">
      <w:pPr>
        <w:pStyle w:val="NormalWeb"/>
        <w:jc w:val="both"/>
      </w:pPr>
      <w:r>
        <w:t>The framework therefore demonstrates that the study does not move directly from the Old Testament to contemporary church practice. Rather, it intentionally passes through careful exegesis and theological evaluation to ensure that any practical recommendations concerning pastoral retirement are firmly grounded in Scripture and consistent with the theological realities of the New Covenant.⁶</w:t>
      </w:r>
    </w:p>
    <w:p w14:paraId="0714BD6A" w14:textId="77777777" w:rsidR="00C2649A" w:rsidRDefault="007E2034">
      <w:pPr>
        <w:jc w:val="both"/>
      </w:pPr>
      <w:r>
        <w:rPr>
          <w:noProof/>
        </w:rPr>
      </w:r>
      <w:r w:rsidR="007E2034">
        <w:rPr>
          <w:noProof/>
        </w:rPr>
        <w:pict>
          <v:rect id="_x0000_i1031" style="width:6in;height:1.5pt" o:hralign="center" o:hrstd="t" o:hr="t" fillcolor="#a0a0a0" stroked="f"/>
        </w:pict>
      </w:r>
    </w:p>
    <w:p w14:paraId="41B34CEC" w14:textId="77777777" w:rsidR="00C2649A" w:rsidRPr="00A365FD" w:rsidRDefault="00735359">
      <w:pPr>
        <w:pStyle w:val="Heading3"/>
        <w:jc w:val="both"/>
        <w:rPr>
          <w:color w:val="000000" w:themeColor="text1"/>
        </w:rPr>
      </w:pPr>
      <w:r w:rsidRPr="00A365FD">
        <w:rPr>
          <w:color w:val="000000" w:themeColor="text1"/>
        </w:rPr>
        <w:t>Footnotes</w:t>
      </w:r>
    </w:p>
    <w:p w14:paraId="169AC32B" w14:textId="77777777" w:rsidR="00C2649A" w:rsidRDefault="00735359">
      <w:pPr>
        <w:numPr>
          <w:ilvl w:val="0"/>
          <w:numId w:val="4"/>
        </w:numPr>
        <w:spacing w:beforeAutospacing="1" w:afterAutospacing="1"/>
        <w:jc w:val="both"/>
      </w:pPr>
      <w:r>
        <w:t xml:space="preserve">Grant R. Osborne, </w:t>
      </w:r>
      <w:r>
        <w:rPr>
          <w:rStyle w:val="Emphasis"/>
        </w:rPr>
        <w:t>The Hermeneutical Spiral: A Comprehensive Introduction to Biblical Interpretation</w:t>
      </w:r>
      <w:r>
        <w:t xml:space="preserve">, 2nd ed. (Downers Grove, IL: </w:t>
      </w:r>
      <w:proofErr w:type="spellStart"/>
      <w:r>
        <w:t>InterVarsity</w:t>
      </w:r>
      <w:proofErr w:type="spellEnd"/>
      <w:r>
        <w:t xml:space="preserve"> Press, 2006), 21–25.</w:t>
      </w:r>
    </w:p>
    <w:p w14:paraId="4A3DFC65" w14:textId="77777777" w:rsidR="00C2649A" w:rsidRDefault="00735359">
      <w:pPr>
        <w:numPr>
          <w:ilvl w:val="0"/>
          <w:numId w:val="4"/>
        </w:numPr>
        <w:spacing w:beforeAutospacing="1" w:afterAutospacing="1"/>
        <w:jc w:val="both"/>
      </w:pPr>
      <w:r>
        <w:t xml:space="preserve">Gordon J. Wenham, </w:t>
      </w:r>
      <w:r>
        <w:rPr>
          <w:rStyle w:val="Emphasis"/>
        </w:rPr>
        <w:t>Numbers: An Introduction and Commentary</w:t>
      </w:r>
      <w:r>
        <w:t xml:space="preserve"> (Downers Grove, IL: </w:t>
      </w:r>
      <w:proofErr w:type="spellStart"/>
      <w:r>
        <w:t>InterVarsity</w:t>
      </w:r>
      <w:proofErr w:type="spellEnd"/>
      <w:r>
        <w:t xml:space="preserve"> Press, 1981), 88–91.</w:t>
      </w:r>
    </w:p>
    <w:p w14:paraId="47089C3D" w14:textId="77777777" w:rsidR="00C2649A" w:rsidRDefault="00735359">
      <w:pPr>
        <w:numPr>
          <w:ilvl w:val="0"/>
          <w:numId w:val="4"/>
        </w:numPr>
        <w:spacing w:beforeAutospacing="1" w:afterAutospacing="1"/>
        <w:jc w:val="both"/>
      </w:pPr>
      <w:r>
        <w:t xml:space="preserve">Andreas J. </w:t>
      </w:r>
      <w:proofErr w:type="spellStart"/>
      <w:r>
        <w:t>Köstenberger</w:t>
      </w:r>
      <w:proofErr w:type="spellEnd"/>
      <w:r>
        <w:t xml:space="preserve"> and Thomas R. Schreiner, eds., </w:t>
      </w:r>
      <w:r>
        <w:rPr>
          <w:rStyle w:val="Emphasis"/>
        </w:rPr>
        <w:t>Women in the Church: An Interpretation and Application of 1 Timothy 2:9–15</w:t>
      </w:r>
      <w:r>
        <w:t>, 3rd ed. (Wheaton, IL: Crossway, 2016), 45–50. (Used here for its discussion of pastoral office and New Testament ministry.)</w:t>
      </w:r>
    </w:p>
    <w:p w14:paraId="305E9911" w14:textId="77777777" w:rsidR="00C2649A" w:rsidRDefault="00735359">
      <w:pPr>
        <w:numPr>
          <w:ilvl w:val="0"/>
          <w:numId w:val="4"/>
        </w:numPr>
        <w:spacing w:beforeAutospacing="1" w:afterAutospacing="1"/>
        <w:jc w:val="both"/>
      </w:pPr>
      <w:r>
        <w:t xml:space="preserve">Gordon D. Fee and Douglas Stuart, </w:t>
      </w:r>
      <w:r>
        <w:rPr>
          <w:rStyle w:val="Emphasis"/>
        </w:rPr>
        <w:t>How to Read the Bible for All Its Worth</w:t>
      </w:r>
      <w:r>
        <w:t>, 4th ed. (Grand Rapids, MI: Zondervan, 2014), 25–34.</w:t>
      </w:r>
    </w:p>
    <w:p w14:paraId="3822F0E6" w14:textId="77777777" w:rsidR="00C2649A" w:rsidRDefault="00735359">
      <w:pPr>
        <w:numPr>
          <w:ilvl w:val="0"/>
          <w:numId w:val="4"/>
        </w:numPr>
        <w:spacing w:beforeAutospacing="1" w:afterAutospacing="1"/>
        <w:jc w:val="both"/>
      </w:pPr>
      <w:r>
        <w:t xml:space="preserve">Thomas R. Schreiner, </w:t>
      </w:r>
      <w:r>
        <w:rPr>
          <w:rStyle w:val="Emphasis"/>
        </w:rPr>
        <w:t>The King in His Beauty: A Biblical Theology of the Old and New Testaments</w:t>
      </w:r>
      <w:r>
        <w:t xml:space="preserve"> (Grand Rapids, MI: Baker Academic, 2013), 603–620.</w:t>
      </w:r>
    </w:p>
    <w:p w14:paraId="2F808B96" w14:textId="77777777" w:rsidR="00C2649A" w:rsidRDefault="00735359">
      <w:pPr>
        <w:numPr>
          <w:ilvl w:val="0"/>
          <w:numId w:val="4"/>
        </w:numPr>
        <w:spacing w:beforeAutospacing="1" w:afterAutospacing="1"/>
        <w:jc w:val="both"/>
      </w:pPr>
      <w:r>
        <w:t xml:space="preserve">David L. Baker, </w:t>
      </w:r>
      <w:r>
        <w:rPr>
          <w:rStyle w:val="Emphasis"/>
        </w:rPr>
        <w:t>Two Testaments, One Bible: A Study of the Theological Relationship Between the Old and New Testaments</w:t>
      </w:r>
      <w:r>
        <w:t>, 3rd ed. (Downers Grove, IL: IVP Academic, 2010), 89–112.</w:t>
      </w:r>
    </w:p>
    <w:p w14:paraId="7177BFC6" w14:textId="77777777" w:rsidR="00C2649A" w:rsidRDefault="00C2649A">
      <w:pPr>
        <w:pStyle w:val="NormalWeb"/>
        <w:jc w:val="both"/>
      </w:pPr>
    </w:p>
    <w:p w14:paraId="1A04F74F" w14:textId="77777777" w:rsidR="00C2649A" w:rsidRPr="00786706" w:rsidRDefault="00735359">
      <w:pPr>
        <w:pStyle w:val="Style10"/>
        <w:jc w:val="both"/>
        <w:rPr>
          <w:rFonts w:ascii="Times New Roman"/>
          <w:color w:val="000000" w:themeColor="text1"/>
        </w:rPr>
      </w:pPr>
      <w:r w:rsidRPr="00786706">
        <w:rPr>
          <w:rFonts w:ascii="Times New Roman"/>
          <w:color w:val="000000" w:themeColor="text1"/>
        </w:rPr>
        <w:t>窗体底端</w:t>
      </w:r>
    </w:p>
    <w:p w14:paraId="4B904639" w14:textId="673BF693" w:rsidR="00C2649A" w:rsidRPr="00786706" w:rsidRDefault="00735359">
      <w:pPr>
        <w:pStyle w:val="Heading2"/>
        <w:jc w:val="both"/>
        <w:rPr>
          <w:color w:val="000000" w:themeColor="text1"/>
          <w:lang w:val="en-US"/>
        </w:rPr>
      </w:pPr>
      <w:r w:rsidRPr="00786706">
        <w:rPr>
          <w:color w:val="000000" w:themeColor="text1"/>
        </w:rPr>
        <w:t xml:space="preserve">1.10 </w:t>
      </w:r>
      <w:r w:rsidR="00786706">
        <w:rPr>
          <w:color w:val="000000" w:themeColor="text1"/>
        </w:rPr>
        <w:t xml:space="preserve"> </w:t>
      </w:r>
      <w:r w:rsidRPr="00786706">
        <w:rPr>
          <w:color w:val="000000" w:themeColor="text1"/>
        </w:rPr>
        <w:t>C</w:t>
      </w:r>
      <w:proofErr w:type="spellStart"/>
      <w:r w:rsidRPr="00786706">
        <w:rPr>
          <w:color w:val="000000" w:themeColor="text1"/>
          <w:lang w:val="en-US"/>
        </w:rPr>
        <w:t>o</w:t>
      </w:r>
      <w:r w:rsidR="003811C5">
        <w:rPr>
          <w:color w:val="000000" w:themeColor="text1"/>
          <w:lang w:val="en-US"/>
        </w:rPr>
        <w:t>n</w:t>
      </w:r>
      <w:r w:rsidRPr="00786706">
        <w:rPr>
          <w:color w:val="000000" w:themeColor="text1"/>
          <w:lang w:val="en-US"/>
        </w:rPr>
        <w:t>clu</w:t>
      </w:r>
      <w:r w:rsidRPr="00786706">
        <w:rPr>
          <w:color w:val="000000" w:themeColor="text1"/>
          <w:lang w:val="en-US"/>
        </w:rPr>
        <w:t>sion</w:t>
      </w:r>
      <w:proofErr w:type="spellEnd"/>
    </w:p>
    <w:p w14:paraId="78E2DF35" w14:textId="77777777" w:rsidR="00C2649A" w:rsidRDefault="00735359">
      <w:pPr>
        <w:pStyle w:val="NormalWeb"/>
        <w:jc w:val="both"/>
      </w:pPr>
      <w:r>
        <w:t xml:space="preserve">Chapter one has introduced the study by presenting the background to the research, the statement of the problem, the purpose of the study, the research objectives, and the research questions. It has also highlighted the significance of the study by demonstrating its potential contribution to biblical scholarship, theological reflection, </w:t>
      </w:r>
      <w:r>
        <w:lastRenderedPageBreak/>
        <w:t>church leadership, and denominational policy regarding ministerial retirement within the Malawi Assemblies of God Church.</w:t>
      </w:r>
    </w:p>
    <w:p w14:paraId="3299E0AD" w14:textId="77777777" w:rsidR="00C2649A" w:rsidRDefault="00C2649A">
      <w:pPr>
        <w:pStyle w:val="NormalWeb"/>
        <w:jc w:val="both"/>
      </w:pPr>
    </w:p>
    <w:p w14:paraId="544D2064" w14:textId="77777777" w:rsidR="00C2649A" w:rsidRDefault="00735359">
      <w:pPr>
        <w:pStyle w:val="NormalWeb"/>
        <w:jc w:val="both"/>
      </w:pPr>
      <w:r>
        <w:t xml:space="preserve">The chapter further established the scope and delimitations of the study, identifying the exegetical focus on Numbers 8:23–26 while </w:t>
      </w:r>
      <w:proofErr w:type="spellStart"/>
      <w:r>
        <w:t>recognising</w:t>
      </w:r>
      <w:proofErr w:type="spellEnd"/>
      <w:r>
        <w:t xml:space="preserve"> the relevance of selected New Testament passages in evaluating ministerial retirement under the New Covenant. The theoretical framework, grounded in New Covenant Theology, Biblical Theology, and the grammatical-historical method of interpretation, provided the interpretive lens through which the biblical texts will be examined. In addition, the conceptual framework illustrated the logical relationship between the Levitical retirement regulations, exegetical analysis, theological evaluation, New </w:t>
      </w:r>
      <w:r>
        <w:t>Testament teaching on ministry, and the contemporary practice of pastoral retirement within the Malawi Assemblies of God Church.</w:t>
      </w:r>
    </w:p>
    <w:p w14:paraId="2DE08A79" w14:textId="77777777" w:rsidR="00C2649A" w:rsidRDefault="00C2649A">
      <w:pPr>
        <w:pStyle w:val="NormalWeb"/>
        <w:jc w:val="both"/>
      </w:pPr>
    </w:p>
    <w:p w14:paraId="1A2D1E40" w14:textId="77777777" w:rsidR="00C2649A" w:rsidRDefault="00C2649A">
      <w:pPr>
        <w:pStyle w:val="NormalWeb"/>
        <w:jc w:val="both"/>
      </w:pPr>
    </w:p>
    <w:sectPr w:rsidR="00C2649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default"/>
    <w:sig w:usb0="00000000" w:usb1="00000000" w:usb2="00000000" w:usb3="00000000" w:csb0="80000000" w:csb1="00000000"/>
  </w:font>
  <w:font w:name="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auto"/>
    <w:pitch w:val="default"/>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A49DEE"/>
    <w:multiLevelType w:val="hybridMultilevel"/>
    <w:tmpl w:val="86A49DEE"/>
    <w:lvl w:ilvl="0" w:tplc="2BA233D2">
      <w:start w:val="1"/>
      <w:numFmt w:val="decimal"/>
      <w:lvlText w:val="%1."/>
      <w:lvlJc w:val="left"/>
      <w:pPr>
        <w:tabs>
          <w:tab w:val="left" w:pos="720"/>
        </w:tabs>
        <w:ind w:left="720" w:hanging="360"/>
      </w:pPr>
      <w:rPr>
        <w:sz w:val="24"/>
        <w:szCs w:val="24"/>
      </w:rPr>
    </w:lvl>
    <w:lvl w:ilvl="1" w:tplc="89AE422C">
      <w:start w:val="1"/>
      <w:numFmt w:val="decimal"/>
      <w:lvlText w:val="%2."/>
      <w:lvlJc w:val="left"/>
      <w:pPr>
        <w:tabs>
          <w:tab w:val="left" w:pos="1440"/>
        </w:tabs>
        <w:ind w:left="1440" w:hanging="360"/>
      </w:pPr>
      <w:rPr>
        <w:sz w:val="24"/>
        <w:szCs w:val="24"/>
      </w:rPr>
    </w:lvl>
    <w:lvl w:ilvl="2" w:tplc="FC74B638">
      <w:start w:val="1"/>
      <w:numFmt w:val="decimal"/>
      <w:lvlText w:val="%3."/>
      <w:lvlJc w:val="left"/>
      <w:pPr>
        <w:tabs>
          <w:tab w:val="left" w:pos="2160"/>
        </w:tabs>
        <w:ind w:left="2160" w:hanging="360"/>
      </w:pPr>
      <w:rPr>
        <w:sz w:val="24"/>
        <w:szCs w:val="24"/>
      </w:rPr>
    </w:lvl>
    <w:lvl w:ilvl="3" w:tplc="F0A0D36A">
      <w:start w:val="1"/>
      <w:numFmt w:val="decimal"/>
      <w:lvlText w:val="%4."/>
      <w:lvlJc w:val="left"/>
      <w:pPr>
        <w:tabs>
          <w:tab w:val="left" w:pos="2517"/>
        </w:tabs>
        <w:ind w:left="2880" w:hanging="360"/>
      </w:pPr>
      <w:rPr>
        <w:sz w:val="24"/>
        <w:szCs w:val="24"/>
      </w:rPr>
    </w:lvl>
    <w:lvl w:ilvl="4" w:tplc="03D668AC">
      <w:start w:val="1"/>
      <w:numFmt w:val="decimal"/>
      <w:lvlText w:val="%5."/>
      <w:lvlJc w:val="left"/>
      <w:pPr>
        <w:tabs>
          <w:tab w:val="left" w:pos="3238"/>
        </w:tabs>
        <w:ind w:left="3600" w:hanging="360"/>
      </w:pPr>
      <w:rPr>
        <w:sz w:val="24"/>
        <w:szCs w:val="24"/>
      </w:rPr>
    </w:lvl>
    <w:lvl w:ilvl="5" w:tplc="ECD41958">
      <w:start w:val="1"/>
      <w:numFmt w:val="decimal"/>
      <w:lvlText w:val="%6."/>
      <w:lvlJc w:val="left"/>
      <w:pPr>
        <w:tabs>
          <w:tab w:val="left" w:pos="3958"/>
        </w:tabs>
        <w:ind w:left="4320" w:hanging="360"/>
      </w:pPr>
      <w:rPr>
        <w:sz w:val="24"/>
        <w:szCs w:val="24"/>
      </w:rPr>
    </w:lvl>
    <w:lvl w:ilvl="6" w:tplc="BF6E7F68">
      <w:start w:val="1"/>
      <w:numFmt w:val="decimal"/>
      <w:lvlText w:val="%7."/>
      <w:lvlJc w:val="left"/>
      <w:pPr>
        <w:tabs>
          <w:tab w:val="left" w:pos="4678"/>
        </w:tabs>
        <w:ind w:left="5040" w:hanging="360"/>
      </w:pPr>
      <w:rPr>
        <w:sz w:val="24"/>
        <w:szCs w:val="24"/>
      </w:rPr>
    </w:lvl>
    <w:lvl w:ilvl="7" w:tplc="16204174">
      <w:start w:val="1"/>
      <w:numFmt w:val="decimal"/>
      <w:lvlText w:val="%8."/>
      <w:lvlJc w:val="left"/>
      <w:pPr>
        <w:tabs>
          <w:tab w:val="left" w:pos="5398"/>
        </w:tabs>
        <w:ind w:left="5760" w:hanging="360"/>
      </w:pPr>
      <w:rPr>
        <w:sz w:val="24"/>
        <w:szCs w:val="24"/>
      </w:rPr>
    </w:lvl>
    <w:lvl w:ilvl="8" w:tplc="7EDEA32C">
      <w:start w:val="1"/>
      <w:numFmt w:val="decimal"/>
      <w:lvlText w:val="%9."/>
      <w:lvlJc w:val="left"/>
      <w:pPr>
        <w:tabs>
          <w:tab w:val="left" w:pos="6118"/>
        </w:tabs>
        <w:ind w:left="6480" w:hanging="360"/>
      </w:pPr>
      <w:rPr>
        <w:sz w:val="24"/>
        <w:szCs w:val="24"/>
      </w:rPr>
    </w:lvl>
  </w:abstractNum>
  <w:abstractNum w:abstractNumId="1" w15:restartNumberingAfterBreak="0">
    <w:nsid w:val="89A25737"/>
    <w:multiLevelType w:val="hybridMultilevel"/>
    <w:tmpl w:val="89A25737"/>
    <w:lvl w:ilvl="0" w:tplc="5AA6ECC2">
      <w:start w:val="1"/>
      <w:numFmt w:val="decimal"/>
      <w:lvlText w:val="%1."/>
      <w:lvlJc w:val="left"/>
      <w:pPr>
        <w:tabs>
          <w:tab w:val="left" w:pos="720"/>
        </w:tabs>
        <w:ind w:left="720" w:hanging="360"/>
      </w:pPr>
      <w:rPr>
        <w:sz w:val="24"/>
        <w:szCs w:val="24"/>
      </w:rPr>
    </w:lvl>
    <w:lvl w:ilvl="1" w:tplc="575A9FD8">
      <w:start w:val="1"/>
      <w:numFmt w:val="decimal"/>
      <w:lvlText w:val="%2."/>
      <w:lvlJc w:val="left"/>
      <w:pPr>
        <w:tabs>
          <w:tab w:val="left" w:pos="1440"/>
        </w:tabs>
        <w:ind w:left="1440" w:hanging="360"/>
      </w:pPr>
      <w:rPr>
        <w:sz w:val="24"/>
        <w:szCs w:val="24"/>
      </w:rPr>
    </w:lvl>
    <w:lvl w:ilvl="2" w:tplc="BEE8444E">
      <w:start w:val="1"/>
      <w:numFmt w:val="decimal"/>
      <w:lvlText w:val="%3."/>
      <w:lvlJc w:val="left"/>
      <w:pPr>
        <w:tabs>
          <w:tab w:val="left" w:pos="2160"/>
        </w:tabs>
        <w:ind w:left="2160" w:hanging="360"/>
      </w:pPr>
      <w:rPr>
        <w:sz w:val="24"/>
        <w:szCs w:val="24"/>
      </w:rPr>
    </w:lvl>
    <w:lvl w:ilvl="3" w:tplc="E4D45FCE">
      <w:start w:val="1"/>
      <w:numFmt w:val="decimal"/>
      <w:lvlText w:val="%4."/>
      <w:lvlJc w:val="left"/>
      <w:pPr>
        <w:tabs>
          <w:tab w:val="left" w:pos="2517"/>
        </w:tabs>
        <w:ind w:left="2880" w:hanging="360"/>
      </w:pPr>
      <w:rPr>
        <w:sz w:val="24"/>
        <w:szCs w:val="24"/>
      </w:rPr>
    </w:lvl>
    <w:lvl w:ilvl="4" w:tplc="D5BC2656">
      <w:start w:val="1"/>
      <w:numFmt w:val="decimal"/>
      <w:lvlText w:val="%5."/>
      <w:lvlJc w:val="left"/>
      <w:pPr>
        <w:tabs>
          <w:tab w:val="left" w:pos="3238"/>
        </w:tabs>
        <w:ind w:left="3600" w:hanging="360"/>
      </w:pPr>
      <w:rPr>
        <w:sz w:val="24"/>
        <w:szCs w:val="24"/>
      </w:rPr>
    </w:lvl>
    <w:lvl w:ilvl="5" w:tplc="21F8A356">
      <w:start w:val="1"/>
      <w:numFmt w:val="decimal"/>
      <w:lvlText w:val="%6."/>
      <w:lvlJc w:val="left"/>
      <w:pPr>
        <w:tabs>
          <w:tab w:val="left" w:pos="3958"/>
        </w:tabs>
        <w:ind w:left="4320" w:hanging="360"/>
      </w:pPr>
      <w:rPr>
        <w:sz w:val="24"/>
        <w:szCs w:val="24"/>
      </w:rPr>
    </w:lvl>
    <w:lvl w:ilvl="6" w:tplc="969ECE82">
      <w:start w:val="1"/>
      <w:numFmt w:val="decimal"/>
      <w:lvlText w:val="%7."/>
      <w:lvlJc w:val="left"/>
      <w:pPr>
        <w:tabs>
          <w:tab w:val="left" w:pos="4678"/>
        </w:tabs>
        <w:ind w:left="5040" w:hanging="360"/>
      </w:pPr>
      <w:rPr>
        <w:sz w:val="24"/>
        <w:szCs w:val="24"/>
      </w:rPr>
    </w:lvl>
    <w:lvl w:ilvl="7" w:tplc="ED90601A">
      <w:start w:val="1"/>
      <w:numFmt w:val="decimal"/>
      <w:lvlText w:val="%8."/>
      <w:lvlJc w:val="left"/>
      <w:pPr>
        <w:tabs>
          <w:tab w:val="left" w:pos="5398"/>
        </w:tabs>
        <w:ind w:left="5760" w:hanging="360"/>
      </w:pPr>
      <w:rPr>
        <w:sz w:val="24"/>
        <w:szCs w:val="24"/>
      </w:rPr>
    </w:lvl>
    <w:lvl w:ilvl="8" w:tplc="2FF646F4">
      <w:start w:val="1"/>
      <w:numFmt w:val="decimal"/>
      <w:lvlText w:val="%9."/>
      <w:lvlJc w:val="left"/>
      <w:pPr>
        <w:tabs>
          <w:tab w:val="left" w:pos="6118"/>
        </w:tabs>
        <w:ind w:left="6480" w:hanging="360"/>
      </w:pPr>
      <w:rPr>
        <w:sz w:val="24"/>
        <w:szCs w:val="24"/>
      </w:rPr>
    </w:lvl>
  </w:abstractNum>
  <w:abstractNum w:abstractNumId="2" w15:restartNumberingAfterBreak="0">
    <w:nsid w:val="8BDBEA79"/>
    <w:multiLevelType w:val="hybridMultilevel"/>
    <w:tmpl w:val="8BDBEA79"/>
    <w:lvl w:ilvl="0" w:tplc="5A3048FC">
      <w:start w:val="1"/>
      <w:numFmt w:val="decimal"/>
      <w:lvlText w:val="%1."/>
      <w:lvlJc w:val="left"/>
      <w:pPr>
        <w:tabs>
          <w:tab w:val="left" w:pos="720"/>
        </w:tabs>
        <w:ind w:left="720" w:hanging="360"/>
      </w:pPr>
      <w:rPr>
        <w:sz w:val="24"/>
        <w:szCs w:val="24"/>
      </w:rPr>
    </w:lvl>
    <w:lvl w:ilvl="1" w:tplc="3F5E870E">
      <w:start w:val="1"/>
      <w:numFmt w:val="decimal"/>
      <w:lvlText w:val="%2."/>
      <w:lvlJc w:val="left"/>
      <w:pPr>
        <w:tabs>
          <w:tab w:val="left" w:pos="1440"/>
        </w:tabs>
        <w:ind w:left="1440" w:hanging="360"/>
      </w:pPr>
      <w:rPr>
        <w:sz w:val="24"/>
        <w:szCs w:val="24"/>
      </w:rPr>
    </w:lvl>
    <w:lvl w:ilvl="2" w:tplc="CE52C728">
      <w:start w:val="1"/>
      <w:numFmt w:val="decimal"/>
      <w:lvlText w:val="%3."/>
      <w:lvlJc w:val="left"/>
      <w:pPr>
        <w:tabs>
          <w:tab w:val="left" w:pos="2160"/>
        </w:tabs>
        <w:ind w:left="2160" w:hanging="360"/>
      </w:pPr>
      <w:rPr>
        <w:sz w:val="24"/>
        <w:szCs w:val="24"/>
      </w:rPr>
    </w:lvl>
    <w:lvl w:ilvl="3" w:tplc="C90EA908">
      <w:start w:val="1"/>
      <w:numFmt w:val="decimal"/>
      <w:lvlText w:val="%4."/>
      <w:lvlJc w:val="left"/>
      <w:pPr>
        <w:tabs>
          <w:tab w:val="left" w:pos="2517"/>
        </w:tabs>
        <w:ind w:left="2880" w:hanging="360"/>
      </w:pPr>
      <w:rPr>
        <w:sz w:val="24"/>
        <w:szCs w:val="24"/>
      </w:rPr>
    </w:lvl>
    <w:lvl w:ilvl="4" w:tplc="44EEE18A">
      <w:start w:val="1"/>
      <w:numFmt w:val="decimal"/>
      <w:lvlText w:val="%5."/>
      <w:lvlJc w:val="left"/>
      <w:pPr>
        <w:tabs>
          <w:tab w:val="left" w:pos="3238"/>
        </w:tabs>
        <w:ind w:left="3600" w:hanging="360"/>
      </w:pPr>
      <w:rPr>
        <w:sz w:val="24"/>
        <w:szCs w:val="24"/>
      </w:rPr>
    </w:lvl>
    <w:lvl w:ilvl="5" w:tplc="03785F6A">
      <w:start w:val="1"/>
      <w:numFmt w:val="decimal"/>
      <w:lvlText w:val="%6."/>
      <w:lvlJc w:val="left"/>
      <w:pPr>
        <w:tabs>
          <w:tab w:val="left" w:pos="3958"/>
        </w:tabs>
        <w:ind w:left="4320" w:hanging="360"/>
      </w:pPr>
      <w:rPr>
        <w:sz w:val="24"/>
        <w:szCs w:val="24"/>
      </w:rPr>
    </w:lvl>
    <w:lvl w:ilvl="6" w:tplc="D04EC1D8">
      <w:start w:val="1"/>
      <w:numFmt w:val="decimal"/>
      <w:lvlText w:val="%7."/>
      <w:lvlJc w:val="left"/>
      <w:pPr>
        <w:tabs>
          <w:tab w:val="left" w:pos="4678"/>
        </w:tabs>
        <w:ind w:left="5040" w:hanging="360"/>
      </w:pPr>
      <w:rPr>
        <w:sz w:val="24"/>
        <w:szCs w:val="24"/>
      </w:rPr>
    </w:lvl>
    <w:lvl w:ilvl="7" w:tplc="27F0933A">
      <w:start w:val="1"/>
      <w:numFmt w:val="decimal"/>
      <w:lvlText w:val="%8."/>
      <w:lvlJc w:val="left"/>
      <w:pPr>
        <w:tabs>
          <w:tab w:val="left" w:pos="5398"/>
        </w:tabs>
        <w:ind w:left="5760" w:hanging="360"/>
      </w:pPr>
      <w:rPr>
        <w:sz w:val="24"/>
        <w:szCs w:val="24"/>
      </w:rPr>
    </w:lvl>
    <w:lvl w:ilvl="8" w:tplc="99803D76">
      <w:start w:val="1"/>
      <w:numFmt w:val="decimal"/>
      <w:lvlText w:val="%9."/>
      <w:lvlJc w:val="left"/>
      <w:pPr>
        <w:tabs>
          <w:tab w:val="left" w:pos="6118"/>
        </w:tabs>
        <w:ind w:left="6480" w:hanging="360"/>
      </w:pPr>
      <w:rPr>
        <w:sz w:val="24"/>
        <w:szCs w:val="24"/>
      </w:rPr>
    </w:lvl>
  </w:abstractNum>
  <w:abstractNum w:abstractNumId="3" w15:restartNumberingAfterBreak="0">
    <w:nsid w:val="A74C8788"/>
    <w:multiLevelType w:val="hybridMultilevel"/>
    <w:tmpl w:val="A74C8788"/>
    <w:lvl w:ilvl="0" w:tplc="4FDC1234">
      <w:start w:val="1"/>
      <w:numFmt w:val="decimal"/>
      <w:lvlText w:val="%1."/>
      <w:lvlJc w:val="left"/>
      <w:pPr>
        <w:tabs>
          <w:tab w:val="left" w:pos="720"/>
        </w:tabs>
        <w:ind w:left="720" w:hanging="360"/>
      </w:pPr>
      <w:rPr>
        <w:sz w:val="24"/>
        <w:szCs w:val="24"/>
      </w:rPr>
    </w:lvl>
    <w:lvl w:ilvl="1" w:tplc="9F9CB0BA">
      <w:start w:val="1"/>
      <w:numFmt w:val="decimal"/>
      <w:lvlText w:val="%2."/>
      <w:lvlJc w:val="left"/>
      <w:pPr>
        <w:tabs>
          <w:tab w:val="left" w:pos="1440"/>
        </w:tabs>
        <w:ind w:left="1440" w:hanging="360"/>
      </w:pPr>
      <w:rPr>
        <w:sz w:val="24"/>
        <w:szCs w:val="24"/>
      </w:rPr>
    </w:lvl>
    <w:lvl w:ilvl="2" w:tplc="52C81964">
      <w:start w:val="1"/>
      <w:numFmt w:val="decimal"/>
      <w:lvlText w:val="%3."/>
      <w:lvlJc w:val="left"/>
      <w:pPr>
        <w:tabs>
          <w:tab w:val="left" w:pos="2160"/>
        </w:tabs>
        <w:ind w:left="2160" w:hanging="360"/>
      </w:pPr>
      <w:rPr>
        <w:sz w:val="24"/>
        <w:szCs w:val="24"/>
      </w:rPr>
    </w:lvl>
    <w:lvl w:ilvl="3" w:tplc="5ED232B0">
      <w:start w:val="1"/>
      <w:numFmt w:val="decimal"/>
      <w:lvlText w:val="%4."/>
      <w:lvlJc w:val="left"/>
      <w:pPr>
        <w:tabs>
          <w:tab w:val="left" w:pos="2517"/>
        </w:tabs>
        <w:ind w:left="2880" w:hanging="360"/>
      </w:pPr>
      <w:rPr>
        <w:sz w:val="24"/>
        <w:szCs w:val="24"/>
      </w:rPr>
    </w:lvl>
    <w:lvl w:ilvl="4" w:tplc="EEF4966A">
      <w:start w:val="1"/>
      <w:numFmt w:val="decimal"/>
      <w:lvlText w:val="%5."/>
      <w:lvlJc w:val="left"/>
      <w:pPr>
        <w:tabs>
          <w:tab w:val="left" w:pos="3238"/>
        </w:tabs>
        <w:ind w:left="3600" w:hanging="360"/>
      </w:pPr>
      <w:rPr>
        <w:sz w:val="24"/>
        <w:szCs w:val="24"/>
      </w:rPr>
    </w:lvl>
    <w:lvl w:ilvl="5" w:tplc="0934543E">
      <w:start w:val="1"/>
      <w:numFmt w:val="decimal"/>
      <w:lvlText w:val="%6."/>
      <w:lvlJc w:val="left"/>
      <w:pPr>
        <w:tabs>
          <w:tab w:val="left" w:pos="3958"/>
        </w:tabs>
        <w:ind w:left="4320" w:hanging="360"/>
      </w:pPr>
      <w:rPr>
        <w:sz w:val="24"/>
        <w:szCs w:val="24"/>
      </w:rPr>
    </w:lvl>
    <w:lvl w:ilvl="6" w:tplc="35F2143A">
      <w:start w:val="1"/>
      <w:numFmt w:val="decimal"/>
      <w:lvlText w:val="%7."/>
      <w:lvlJc w:val="left"/>
      <w:pPr>
        <w:tabs>
          <w:tab w:val="left" w:pos="4678"/>
        </w:tabs>
        <w:ind w:left="5040" w:hanging="360"/>
      </w:pPr>
      <w:rPr>
        <w:sz w:val="24"/>
        <w:szCs w:val="24"/>
      </w:rPr>
    </w:lvl>
    <w:lvl w:ilvl="7" w:tplc="49ACA120">
      <w:start w:val="1"/>
      <w:numFmt w:val="decimal"/>
      <w:lvlText w:val="%8."/>
      <w:lvlJc w:val="left"/>
      <w:pPr>
        <w:tabs>
          <w:tab w:val="left" w:pos="5398"/>
        </w:tabs>
        <w:ind w:left="5760" w:hanging="360"/>
      </w:pPr>
      <w:rPr>
        <w:sz w:val="24"/>
        <w:szCs w:val="24"/>
      </w:rPr>
    </w:lvl>
    <w:lvl w:ilvl="8" w:tplc="E7A2F0DE">
      <w:start w:val="1"/>
      <w:numFmt w:val="decimal"/>
      <w:lvlText w:val="%9."/>
      <w:lvlJc w:val="left"/>
      <w:pPr>
        <w:tabs>
          <w:tab w:val="left" w:pos="6118"/>
        </w:tabs>
        <w:ind w:left="6480" w:hanging="360"/>
      </w:pPr>
      <w:rPr>
        <w:sz w:val="24"/>
        <w:szCs w:val="24"/>
      </w:rPr>
    </w:lvl>
  </w:abstractNum>
  <w:abstractNum w:abstractNumId="4" w15:restartNumberingAfterBreak="0">
    <w:nsid w:val="3AF33491"/>
    <w:multiLevelType w:val="hybridMultilevel"/>
    <w:tmpl w:val="FFFFFFFF"/>
    <w:lvl w:ilvl="0" w:tplc="9BF69C20">
      <w:numFmt w:val="bullet"/>
      <w:lvlText w:val=""/>
      <w:lvlJc w:val="left"/>
      <w:pPr>
        <w:ind w:left="720" w:hanging="360"/>
      </w:pPr>
      <w:rPr>
        <w:rFonts w:ascii="Symbol" w:hAnsi="Symbol"/>
      </w:rPr>
    </w:lvl>
    <w:lvl w:ilvl="1" w:tplc="0FEE74CC">
      <w:numFmt w:val="bullet"/>
      <w:lvlText w:val="o"/>
      <w:lvlJc w:val="left"/>
      <w:pPr>
        <w:ind w:left="1440" w:hanging="1080"/>
      </w:pPr>
      <w:rPr>
        <w:rFonts w:ascii="Courier New" w:hAnsi="Courier New"/>
      </w:rPr>
    </w:lvl>
    <w:lvl w:ilvl="2" w:tplc="40E88324">
      <w:numFmt w:val="bullet"/>
      <w:lvlText w:val=""/>
      <w:lvlJc w:val="left"/>
      <w:pPr>
        <w:ind w:left="2160" w:hanging="1800"/>
      </w:pPr>
      <w:rPr>
        <w:rFonts w:ascii="Wingdings" w:hAnsi="Wingdings"/>
      </w:rPr>
    </w:lvl>
    <w:lvl w:ilvl="3" w:tplc="8F1211A2">
      <w:numFmt w:val="bullet"/>
      <w:lvlText w:val=""/>
      <w:lvlJc w:val="left"/>
      <w:pPr>
        <w:ind w:left="2880" w:hanging="2520"/>
      </w:pPr>
      <w:rPr>
        <w:rFonts w:ascii="Symbol" w:hAnsi="Symbol"/>
      </w:rPr>
    </w:lvl>
    <w:lvl w:ilvl="4" w:tplc="E864C594">
      <w:numFmt w:val="bullet"/>
      <w:lvlText w:val="o"/>
      <w:lvlJc w:val="left"/>
      <w:pPr>
        <w:ind w:left="3600" w:hanging="3240"/>
      </w:pPr>
      <w:rPr>
        <w:rFonts w:ascii="Courier New" w:hAnsi="Courier New"/>
      </w:rPr>
    </w:lvl>
    <w:lvl w:ilvl="5" w:tplc="42F2915A">
      <w:numFmt w:val="bullet"/>
      <w:lvlText w:val=""/>
      <w:lvlJc w:val="left"/>
      <w:pPr>
        <w:ind w:left="4320" w:hanging="3960"/>
      </w:pPr>
      <w:rPr>
        <w:rFonts w:ascii="Wingdings" w:hAnsi="Wingdings"/>
      </w:rPr>
    </w:lvl>
    <w:lvl w:ilvl="6" w:tplc="C7CC4F80">
      <w:numFmt w:val="bullet"/>
      <w:lvlText w:val=""/>
      <w:lvlJc w:val="left"/>
      <w:pPr>
        <w:ind w:left="5040" w:hanging="4680"/>
      </w:pPr>
      <w:rPr>
        <w:rFonts w:ascii="Symbol" w:hAnsi="Symbol"/>
      </w:rPr>
    </w:lvl>
    <w:lvl w:ilvl="7" w:tplc="4254EE90">
      <w:numFmt w:val="bullet"/>
      <w:lvlText w:val="o"/>
      <w:lvlJc w:val="left"/>
      <w:pPr>
        <w:ind w:left="5760" w:hanging="5400"/>
      </w:pPr>
      <w:rPr>
        <w:rFonts w:ascii="Courier New" w:hAnsi="Courier New"/>
      </w:rPr>
    </w:lvl>
    <w:lvl w:ilvl="8" w:tplc="C6568A9C">
      <w:numFmt w:val="bullet"/>
      <w:lvlText w:val=""/>
      <w:lvlJc w:val="left"/>
      <w:pPr>
        <w:ind w:left="6480" w:hanging="6120"/>
      </w:pPr>
      <w:rPr>
        <w:rFonts w:ascii="Wingdings" w:hAnsi="Wingdings"/>
      </w:rPr>
    </w:lvl>
  </w:abstractNum>
  <w:abstractNum w:abstractNumId="5" w15:restartNumberingAfterBreak="0">
    <w:nsid w:val="4FF19352"/>
    <w:multiLevelType w:val="hybridMultilevel"/>
    <w:tmpl w:val="4FF19352"/>
    <w:lvl w:ilvl="0" w:tplc="9C76EEE8">
      <w:start w:val="1"/>
      <w:numFmt w:val="decimal"/>
      <w:lvlText w:val="%1."/>
      <w:lvlJc w:val="left"/>
      <w:pPr>
        <w:tabs>
          <w:tab w:val="left" w:pos="720"/>
        </w:tabs>
        <w:ind w:left="720" w:hanging="360"/>
      </w:pPr>
      <w:rPr>
        <w:sz w:val="24"/>
        <w:szCs w:val="24"/>
      </w:rPr>
    </w:lvl>
    <w:lvl w:ilvl="1" w:tplc="C8AC2B88">
      <w:start w:val="1"/>
      <w:numFmt w:val="decimal"/>
      <w:lvlText w:val="%2."/>
      <w:lvlJc w:val="left"/>
      <w:pPr>
        <w:tabs>
          <w:tab w:val="left" w:pos="1440"/>
        </w:tabs>
        <w:ind w:left="1440" w:hanging="360"/>
      </w:pPr>
      <w:rPr>
        <w:sz w:val="24"/>
        <w:szCs w:val="24"/>
      </w:rPr>
    </w:lvl>
    <w:lvl w:ilvl="2" w:tplc="4816C4F6">
      <w:start w:val="1"/>
      <w:numFmt w:val="decimal"/>
      <w:lvlText w:val="%3."/>
      <w:lvlJc w:val="left"/>
      <w:pPr>
        <w:tabs>
          <w:tab w:val="left" w:pos="2160"/>
        </w:tabs>
        <w:ind w:left="2160" w:hanging="360"/>
      </w:pPr>
      <w:rPr>
        <w:sz w:val="24"/>
        <w:szCs w:val="24"/>
      </w:rPr>
    </w:lvl>
    <w:lvl w:ilvl="3" w:tplc="B2669CF4">
      <w:start w:val="1"/>
      <w:numFmt w:val="decimal"/>
      <w:lvlText w:val="%4."/>
      <w:lvlJc w:val="left"/>
      <w:pPr>
        <w:tabs>
          <w:tab w:val="left" w:pos="2517"/>
        </w:tabs>
        <w:ind w:left="2880" w:hanging="360"/>
      </w:pPr>
      <w:rPr>
        <w:sz w:val="24"/>
        <w:szCs w:val="24"/>
      </w:rPr>
    </w:lvl>
    <w:lvl w:ilvl="4" w:tplc="BA7813FE">
      <w:start w:val="1"/>
      <w:numFmt w:val="decimal"/>
      <w:lvlText w:val="%5."/>
      <w:lvlJc w:val="left"/>
      <w:pPr>
        <w:tabs>
          <w:tab w:val="left" w:pos="3238"/>
        </w:tabs>
        <w:ind w:left="3600" w:hanging="360"/>
      </w:pPr>
      <w:rPr>
        <w:sz w:val="24"/>
        <w:szCs w:val="24"/>
      </w:rPr>
    </w:lvl>
    <w:lvl w:ilvl="5" w:tplc="6C2A03FA">
      <w:start w:val="1"/>
      <w:numFmt w:val="decimal"/>
      <w:lvlText w:val="%6."/>
      <w:lvlJc w:val="left"/>
      <w:pPr>
        <w:tabs>
          <w:tab w:val="left" w:pos="3958"/>
        </w:tabs>
        <w:ind w:left="4320" w:hanging="360"/>
      </w:pPr>
      <w:rPr>
        <w:sz w:val="24"/>
        <w:szCs w:val="24"/>
      </w:rPr>
    </w:lvl>
    <w:lvl w:ilvl="6" w:tplc="DCD8CF9E">
      <w:start w:val="1"/>
      <w:numFmt w:val="decimal"/>
      <w:lvlText w:val="%7."/>
      <w:lvlJc w:val="left"/>
      <w:pPr>
        <w:tabs>
          <w:tab w:val="left" w:pos="4678"/>
        </w:tabs>
        <w:ind w:left="5040" w:hanging="360"/>
      </w:pPr>
      <w:rPr>
        <w:sz w:val="24"/>
        <w:szCs w:val="24"/>
      </w:rPr>
    </w:lvl>
    <w:lvl w:ilvl="7" w:tplc="9F668F0E">
      <w:start w:val="1"/>
      <w:numFmt w:val="decimal"/>
      <w:lvlText w:val="%8."/>
      <w:lvlJc w:val="left"/>
      <w:pPr>
        <w:tabs>
          <w:tab w:val="left" w:pos="5398"/>
        </w:tabs>
        <w:ind w:left="5760" w:hanging="360"/>
      </w:pPr>
      <w:rPr>
        <w:sz w:val="24"/>
        <w:szCs w:val="24"/>
      </w:rPr>
    </w:lvl>
    <w:lvl w:ilvl="8" w:tplc="B6902D4E">
      <w:start w:val="1"/>
      <w:numFmt w:val="decimal"/>
      <w:lvlText w:val="%9."/>
      <w:lvlJc w:val="left"/>
      <w:pPr>
        <w:tabs>
          <w:tab w:val="left" w:pos="6118"/>
        </w:tabs>
        <w:ind w:left="6480" w:hanging="360"/>
      </w:pPr>
      <w:rPr>
        <w:sz w:val="24"/>
        <w:szCs w:val="24"/>
      </w:rPr>
    </w:lvl>
  </w:abstractNum>
  <w:num w:numId="1" w16cid:durableId="731537502">
    <w:abstractNumId w:val="2"/>
  </w:num>
  <w:num w:numId="2" w16cid:durableId="7568024">
    <w:abstractNumId w:val="3"/>
  </w:num>
  <w:num w:numId="3" w16cid:durableId="845245313">
    <w:abstractNumId w:val="0"/>
  </w:num>
  <w:num w:numId="4" w16cid:durableId="1903448627">
    <w:abstractNumId w:val="1"/>
  </w:num>
  <w:num w:numId="5" w16cid:durableId="242840513">
    <w:abstractNumId w:val="5"/>
  </w:num>
  <w:num w:numId="6" w16cid:durableId="1838962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embedSystemFonts/>
  <w:proofState w:spelling="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649A"/>
    <w:rsid w:val="001C13F6"/>
    <w:rsid w:val="0028299A"/>
    <w:rsid w:val="00317981"/>
    <w:rsid w:val="003811C5"/>
    <w:rsid w:val="00696B71"/>
    <w:rsid w:val="00735359"/>
    <w:rsid w:val="00786706"/>
    <w:rsid w:val="007E2034"/>
    <w:rsid w:val="008B3857"/>
    <w:rsid w:val="009A1B27"/>
    <w:rsid w:val="00A365FD"/>
    <w:rsid w:val="00A417D9"/>
    <w:rsid w:val="00A974D9"/>
    <w:rsid w:val="00C2649A"/>
    <w:rsid w:val="00C6101E"/>
    <w:rsid w:val="00D62769"/>
    <w:rsid w:val="00E17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7A9110EF"/>
  <w15:docId w15:val="{DDA78B4F-7DB8-C446-9A60-D5F6C49C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TMLCode">
    <w:name w:val="HTML Code"/>
    <w:basedOn w:val="DefaultParagraphFont"/>
    <w:rPr>
      <w:rFonts w:ascii="Courier New" w:hAnsi="Courier New" w:cs="Courier New"/>
      <w:sz w:val="20"/>
      <w:szCs w:val="20"/>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paragraph" w:customStyle="1" w:styleId="Style9">
    <w:name w:val="_Style 9"/>
    <w:basedOn w:val="Normal"/>
    <w:next w:val="Normal"/>
    <w:qFormat/>
    <w:pPr>
      <w:pBdr>
        <w:bottom w:val="single" w:sz="6" w:space="1" w:color="auto"/>
      </w:pBdr>
      <w:jc w:val="center"/>
    </w:pPr>
    <w:rPr>
      <w:rFonts w:ascii="Arial"/>
      <w:vanish/>
      <w:sz w:val="16"/>
    </w:rPr>
  </w:style>
  <w:style w:type="paragraph" w:customStyle="1" w:styleId="Style10">
    <w:name w:val="_Style 10"/>
    <w:basedOn w:val="Normal"/>
    <w:next w:val="Normal"/>
    <w:pPr>
      <w:pBdr>
        <w:top w:val="single" w:sz="6" w:space="1" w:color="auto"/>
      </w:pBdr>
      <w:jc w:val="center"/>
    </w:pPr>
    <w:rPr>
      <w:rFonts w:ascii="Arial"/>
      <w:vanish/>
      <w:sz w:val="16"/>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5618</Words>
  <Characters>35476</Characters>
  <Application>Microsoft Office Word</Application>
  <DocSecurity>0</DocSecurity>
  <Lines>295</Lines>
  <Paragraphs>82</Paragraphs>
  <ScaleCrop>false</ScaleCrop>
  <Company/>
  <LinksUpToDate>false</LinksUpToDate>
  <CharactersWithSpaces>41012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Blessings Tamayenda</dc:creator>
  <cp:lastModifiedBy>ebenezer.inv40@gmail.com</cp:lastModifiedBy>
  <cp:revision>2</cp:revision>
  <dcterms:created xsi:type="dcterms:W3CDTF">2026-07-12T18:14:00Z</dcterms:created>
  <dcterms:modified xsi:type="dcterms:W3CDTF">2026-07-12T18:14:00Z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33ECFFC4B85B40BDB3B8E64DD1F14D91_11</vt:lpwstr>
  </property>
  <property fmtid="{D5CDD505-2E9C-101B-9397-08002B2CF9AE}" pid="4" name="KSOTemplateDocerSaveRecord">
    <vt:lpwstr>eyJoZGlkIjoiZTczZGJiMzk3NmE4MTFmY2I0NmVkOTVhODY4OTk3OTciLCJ1c2VySWQiOiIxNzQ3MjYzNDEzNDQyMCJ9</vt:lpwstr>
  </property>
</Properties>
</file>