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5546341"/>
        <w:docPartObj>
          <w:docPartGallery w:val="Table of Contents"/>
          <w:docPartUnique/>
        </w:docPartObj>
      </w:sdtPr>
      <w:sdtEndPr>
        <w:rPr>
          <w:rFonts w:asciiTheme="minorHAnsi" w:eastAsiaTheme="minorEastAsia" w:hAnsiTheme="minorHAnsi" w:cstheme="minorBidi"/>
          <w:b/>
          <w:bCs/>
          <w:noProof/>
          <w:color w:val="auto"/>
          <w:sz w:val="22"/>
          <w:szCs w:val="22"/>
        </w:rPr>
      </w:sdtEndPr>
      <w:sdtContent>
        <w:p w14:paraId="2FCC560B" w14:textId="4A59F7B1" w:rsidR="00DC4535" w:rsidRDefault="00DC4535" w:rsidP="00DC4535">
          <w:pPr>
            <w:pStyle w:val="TOCHeading"/>
            <w:numPr>
              <w:ilvl w:val="0"/>
              <w:numId w:val="0"/>
            </w:numPr>
            <w:ind w:left="432" w:hanging="432"/>
          </w:pPr>
          <w:r>
            <w:t>TOC</w:t>
          </w:r>
        </w:p>
        <w:p w14:paraId="05975D09" w14:textId="7D468D1F" w:rsidR="00DC4535" w:rsidRDefault="00DC4535">
          <w:pPr>
            <w:pStyle w:val="TOC1"/>
            <w:tabs>
              <w:tab w:val="left" w:pos="480"/>
              <w:tab w:val="right" w:leader="dot" w:pos="9350"/>
            </w:tabs>
            <w:rPr>
              <w:noProof/>
              <w:kern w:val="2"/>
              <w:sz w:val="24"/>
              <w:szCs w:val="24"/>
              <w:lang/>
              <w14:ligatures w14:val="standardContextual"/>
            </w:rPr>
          </w:pPr>
          <w:r>
            <w:fldChar w:fldCharType="begin"/>
          </w:r>
          <w:r>
            <w:instrText xml:space="preserve"> TOC \o "1-3" \h \z \u </w:instrText>
          </w:r>
          <w:r>
            <w:fldChar w:fldCharType="separate"/>
          </w:r>
          <w:hyperlink w:anchor="_Toc233374298" w:history="1">
            <w:r w:rsidRPr="009D0E0E">
              <w:rPr>
                <w:rStyle w:val="Hyperlink"/>
                <w:noProof/>
              </w:rPr>
              <w:t>1</w:t>
            </w:r>
            <w:r>
              <w:rPr>
                <w:noProof/>
                <w:kern w:val="2"/>
                <w:sz w:val="24"/>
                <w:szCs w:val="24"/>
                <w:lang/>
                <w14:ligatures w14:val="standardContextual"/>
              </w:rPr>
              <w:tab/>
            </w:r>
            <w:r w:rsidRPr="009D0E0E">
              <w:rPr>
                <w:rStyle w:val="Hyperlink"/>
                <w:noProof/>
              </w:rPr>
              <w:t>Literature review</w:t>
            </w:r>
            <w:r>
              <w:rPr>
                <w:noProof/>
                <w:webHidden/>
              </w:rPr>
              <w:tab/>
            </w:r>
            <w:r>
              <w:rPr>
                <w:noProof/>
                <w:webHidden/>
              </w:rPr>
              <w:fldChar w:fldCharType="begin"/>
            </w:r>
            <w:r>
              <w:rPr>
                <w:noProof/>
                <w:webHidden/>
              </w:rPr>
              <w:instrText xml:space="preserve"> PAGEREF _Toc233374298 \h </w:instrText>
            </w:r>
            <w:r>
              <w:rPr>
                <w:noProof/>
                <w:webHidden/>
              </w:rPr>
            </w:r>
            <w:r>
              <w:rPr>
                <w:noProof/>
                <w:webHidden/>
              </w:rPr>
              <w:fldChar w:fldCharType="separate"/>
            </w:r>
            <w:r>
              <w:rPr>
                <w:noProof/>
                <w:webHidden/>
              </w:rPr>
              <w:t>1</w:t>
            </w:r>
            <w:r>
              <w:rPr>
                <w:noProof/>
                <w:webHidden/>
              </w:rPr>
              <w:fldChar w:fldCharType="end"/>
            </w:r>
          </w:hyperlink>
        </w:p>
        <w:p w14:paraId="1AD8DDFD" w14:textId="35130683" w:rsidR="00DC4535" w:rsidRDefault="00DC4535">
          <w:pPr>
            <w:pStyle w:val="TOC2"/>
            <w:tabs>
              <w:tab w:val="left" w:pos="960"/>
              <w:tab w:val="right" w:leader="dot" w:pos="9350"/>
            </w:tabs>
            <w:rPr>
              <w:noProof/>
              <w:kern w:val="2"/>
              <w:sz w:val="24"/>
              <w:szCs w:val="24"/>
              <w:lang/>
              <w14:ligatures w14:val="standardContextual"/>
            </w:rPr>
          </w:pPr>
          <w:hyperlink w:anchor="_Toc233374299" w:history="1">
            <w:r w:rsidRPr="009D0E0E">
              <w:rPr>
                <w:rStyle w:val="Hyperlink"/>
                <w:noProof/>
              </w:rPr>
              <w:t>1.1</w:t>
            </w:r>
            <w:r>
              <w:rPr>
                <w:noProof/>
                <w:kern w:val="2"/>
                <w:sz w:val="24"/>
                <w:szCs w:val="24"/>
                <w:lang/>
                <w14:ligatures w14:val="standardContextual"/>
              </w:rPr>
              <w:tab/>
            </w:r>
            <w:r w:rsidRPr="009D0E0E">
              <w:rPr>
                <w:rStyle w:val="Hyperlink"/>
                <w:noProof/>
              </w:rPr>
              <w:t>Introduction</w:t>
            </w:r>
            <w:r>
              <w:rPr>
                <w:noProof/>
                <w:webHidden/>
              </w:rPr>
              <w:tab/>
            </w:r>
            <w:r>
              <w:rPr>
                <w:noProof/>
                <w:webHidden/>
              </w:rPr>
              <w:fldChar w:fldCharType="begin"/>
            </w:r>
            <w:r>
              <w:rPr>
                <w:noProof/>
                <w:webHidden/>
              </w:rPr>
              <w:instrText xml:space="preserve"> PAGEREF _Toc233374299 \h </w:instrText>
            </w:r>
            <w:r>
              <w:rPr>
                <w:noProof/>
                <w:webHidden/>
              </w:rPr>
            </w:r>
            <w:r>
              <w:rPr>
                <w:noProof/>
                <w:webHidden/>
              </w:rPr>
              <w:fldChar w:fldCharType="separate"/>
            </w:r>
            <w:r>
              <w:rPr>
                <w:noProof/>
                <w:webHidden/>
              </w:rPr>
              <w:t>1</w:t>
            </w:r>
            <w:r>
              <w:rPr>
                <w:noProof/>
                <w:webHidden/>
              </w:rPr>
              <w:fldChar w:fldCharType="end"/>
            </w:r>
          </w:hyperlink>
        </w:p>
        <w:p w14:paraId="0CC903D6" w14:textId="78619FF3" w:rsidR="00DC4535" w:rsidRDefault="00DC4535">
          <w:pPr>
            <w:pStyle w:val="TOC2"/>
            <w:tabs>
              <w:tab w:val="left" w:pos="960"/>
              <w:tab w:val="right" w:leader="dot" w:pos="9350"/>
            </w:tabs>
            <w:rPr>
              <w:noProof/>
              <w:kern w:val="2"/>
              <w:sz w:val="24"/>
              <w:szCs w:val="24"/>
              <w:lang/>
              <w14:ligatures w14:val="standardContextual"/>
            </w:rPr>
          </w:pPr>
          <w:hyperlink w:anchor="_Toc233374300" w:history="1">
            <w:r w:rsidRPr="009D0E0E">
              <w:rPr>
                <w:rStyle w:val="Hyperlink"/>
                <w:noProof/>
              </w:rPr>
              <w:t>1.2</w:t>
            </w:r>
            <w:r>
              <w:rPr>
                <w:noProof/>
                <w:kern w:val="2"/>
                <w:sz w:val="24"/>
                <w:szCs w:val="24"/>
                <w:lang/>
                <w14:ligatures w14:val="standardContextual"/>
              </w:rPr>
              <w:tab/>
            </w:r>
            <w:r w:rsidRPr="009D0E0E">
              <w:rPr>
                <w:rStyle w:val="Hyperlink"/>
                <w:noProof/>
              </w:rPr>
              <w:t>Paediatric burn burden and its implications for healthcare provider experiences</w:t>
            </w:r>
            <w:r>
              <w:rPr>
                <w:noProof/>
                <w:webHidden/>
              </w:rPr>
              <w:tab/>
            </w:r>
            <w:r>
              <w:rPr>
                <w:noProof/>
                <w:webHidden/>
              </w:rPr>
              <w:fldChar w:fldCharType="begin"/>
            </w:r>
            <w:r>
              <w:rPr>
                <w:noProof/>
                <w:webHidden/>
              </w:rPr>
              <w:instrText xml:space="preserve"> PAGEREF _Toc233374300 \h </w:instrText>
            </w:r>
            <w:r>
              <w:rPr>
                <w:noProof/>
                <w:webHidden/>
              </w:rPr>
            </w:r>
            <w:r>
              <w:rPr>
                <w:noProof/>
                <w:webHidden/>
              </w:rPr>
              <w:fldChar w:fldCharType="separate"/>
            </w:r>
            <w:r>
              <w:rPr>
                <w:noProof/>
                <w:webHidden/>
              </w:rPr>
              <w:t>3</w:t>
            </w:r>
            <w:r>
              <w:rPr>
                <w:noProof/>
                <w:webHidden/>
              </w:rPr>
              <w:fldChar w:fldCharType="end"/>
            </w:r>
          </w:hyperlink>
        </w:p>
        <w:p w14:paraId="16A4E2D1" w14:textId="0A253604" w:rsidR="00DC4535" w:rsidRDefault="00DC4535">
          <w:pPr>
            <w:pStyle w:val="TOC2"/>
            <w:tabs>
              <w:tab w:val="left" w:pos="960"/>
              <w:tab w:val="right" w:leader="dot" w:pos="9350"/>
            </w:tabs>
            <w:rPr>
              <w:noProof/>
              <w:kern w:val="2"/>
              <w:sz w:val="24"/>
              <w:szCs w:val="24"/>
              <w:lang/>
              <w14:ligatures w14:val="standardContextual"/>
            </w:rPr>
          </w:pPr>
          <w:hyperlink w:anchor="_Toc233374301" w:history="1">
            <w:r w:rsidRPr="009D0E0E">
              <w:rPr>
                <w:rStyle w:val="Hyperlink"/>
                <w:noProof/>
              </w:rPr>
              <w:t>1.3</w:t>
            </w:r>
            <w:r>
              <w:rPr>
                <w:noProof/>
                <w:kern w:val="2"/>
                <w:sz w:val="24"/>
                <w:szCs w:val="24"/>
                <w:lang/>
                <w14:ligatures w14:val="standardContextual"/>
              </w:rPr>
              <w:tab/>
            </w:r>
            <w:r w:rsidRPr="009D0E0E">
              <w:rPr>
                <w:rStyle w:val="Hyperlink"/>
                <w:noProof/>
              </w:rPr>
              <w:t>Health-system conditions shaping challenges in paediatric burn care</w:t>
            </w:r>
            <w:r>
              <w:rPr>
                <w:noProof/>
                <w:webHidden/>
              </w:rPr>
              <w:tab/>
            </w:r>
            <w:r>
              <w:rPr>
                <w:noProof/>
                <w:webHidden/>
              </w:rPr>
              <w:fldChar w:fldCharType="begin"/>
            </w:r>
            <w:r>
              <w:rPr>
                <w:noProof/>
                <w:webHidden/>
              </w:rPr>
              <w:instrText xml:space="preserve"> PAGEREF _Toc233374301 \h </w:instrText>
            </w:r>
            <w:r>
              <w:rPr>
                <w:noProof/>
                <w:webHidden/>
              </w:rPr>
            </w:r>
            <w:r>
              <w:rPr>
                <w:noProof/>
                <w:webHidden/>
              </w:rPr>
              <w:fldChar w:fldCharType="separate"/>
            </w:r>
            <w:r>
              <w:rPr>
                <w:noProof/>
                <w:webHidden/>
              </w:rPr>
              <w:t>5</w:t>
            </w:r>
            <w:r>
              <w:rPr>
                <w:noProof/>
                <w:webHidden/>
              </w:rPr>
              <w:fldChar w:fldCharType="end"/>
            </w:r>
          </w:hyperlink>
        </w:p>
        <w:p w14:paraId="4E9E16A2" w14:textId="24FA8043" w:rsidR="00DC4535" w:rsidRDefault="00DC4535">
          <w:pPr>
            <w:pStyle w:val="TOC2"/>
            <w:tabs>
              <w:tab w:val="left" w:pos="960"/>
              <w:tab w:val="right" w:leader="dot" w:pos="9350"/>
            </w:tabs>
            <w:rPr>
              <w:noProof/>
              <w:kern w:val="2"/>
              <w:sz w:val="24"/>
              <w:szCs w:val="24"/>
              <w:lang/>
              <w14:ligatures w14:val="standardContextual"/>
            </w:rPr>
          </w:pPr>
          <w:hyperlink w:anchor="_Toc233374302" w:history="1">
            <w:r w:rsidRPr="009D0E0E">
              <w:rPr>
                <w:rStyle w:val="Hyperlink"/>
                <w:noProof/>
              </w:rPr>
              <w:t>1.4</w:t>
            </w:r>
            <w:r>
              <w:rPr>
                <w:noProof/>
                <w:kern w:val="2"/>
                <w:sz w:val="24"/>
                <w:szCs w:val="24"/>
                <w:lang/>
                <w14:ligatures w14:val="standardContextual"/>
              </w:rPr>
              <w:tab/>
            </w:r>
            <w:r w:rsidRPr="009D0E0E">
              <w:rPr>
                <w:rStyle w:val="Hyperlink"/>
                <w:noProof/>
              </w:rPr>
              <w:t>Experiences and challenges of healthcare providers</w:t>
            </w:r>
            <w:r>
              <w:rPr>
                <w:noProof/>
                <w:webHidden/>
              </w:rPr>
              <w:tab/>
            </w:r>
            <w:r>
              <w:rPr>
                <w:noProof/>
                <w:webHidden/>
              </w:rPr>
              <w:fldChar w:fldCharType="begin"/>
            </w:r>
            <w:r>
              <w:rPr>
                <w:noProof/>
                <w:webHidden/>
              </w:rPr>
              <w:instrText xml:space="preserve"> PAGEREF _Toc233374302 \h </w:instrText>
            </w:r>
            <w:r>
              <w:rPr>
                <w:noProof/>
                <w:webHidden/>
              </w:rPr>
            </w:r>
            <w:r>
              <w:rPr>
                <w:noProof/>
                <w:webHidden/>
              </w:rPr>
              <w:fldChar w:fldCharType="separate"/>
            </w:r>
            <w:r>
              <w:rPr>
                <w:noProof/>
                <w:webHidden/>
              </w:rPr>
              <w:t>7</w:t>
            </w:r>
            <w:r>
              <w:rPr>
                <w:noProof/>
                <w:webHidden/>
              </w:rPr>
              <w:fldChar w:fldCharType="end"/>
            </w:r>
          </w:hyperlink>
        </w:p>
        <w:p w14:paraId="21D73339" w14:textId="4CAB2116" w:rsidR="00DC4535" w:rsidRDefault="00DC4535">
          <w:pPr>
            <w:pStyle w:val="TOC2"/>
            <w:tabs>
              <w:tab w:val="left" w:pos="960"/>
              <w:tab w:val="right" w:leader="dot" w:pos="9350"/>
            </w:tabs>
            <w:rPr>
              <w:noProof/>
              <w:kern w:val="2"/>
              <w:sz w:val="24"/>
              <w:szCs w:val="24"/>
              <w:lang/>
              <w14:ligatures w14:val="standardContextual"/>
            </w:rPr>
          </w:pPr>
          <w:hyperlink w:anchor="_Toc233374303" w:history="1">
            <w:r w:rsidRPr="009D0E0E">
              <w:rPr>
                <w:rStyle w:val="Hyperlink"/>
                <w:noProof/>
              </w:rPr>
              <w:t>1.5</w:t>
            </w:r>
            <w:r>
              <w:rPr>
                <w:noProof/>
                <w:kern w:val="2"/>
                <w:sz w:val="24"/>
                <w:szCs w:val="24"/>
                <w:lang/>
                <w14:ligatures w14:val="standardContextual"/>
              </w:rPr>
              <w:tab/>
            </w:r>
            <w:r w:rsidRPr="009D0E0E">
              <w:rPr>
                <w:rStyle w:val="Hyperlink"/>
                <w:noProof/>
              </w:rPr>
              <w:t>Support needs and implications for the present study</w:t>
            </w:r>
            <w:r>
              <w:rPr>
                <w:noProof/>
                <w:webHidden/>
              </w:rPr>
              <w:tab/>
            </w:r>
            <w:r>
              <w:rPr>
                <w:noProof/>
                <w:webHidden/>
              </w:rPr>
              <w:fldChar w:fldCharType="begin"/>
            </w:r>
            <w:r>
              <w:rPr>
                <w:noProof/>
                <w:webHidden/>
              </w:rPr>
              <w:instrText xml:space="preserve"> PAGEREF _Toc233374303 \h </w:instrText>
            </w:r>
            <w:r>
              <w:rPr>
                <w:noProof/>
                <w:webHidden/>
              </w:rPr>
            </w:r>
            <w:r>
              <w:rPr>
                <w:noProof/>
                <w:webHidden/>
              </w:rPr>
              <w:fldChar w:fldCharType="separate"/>
            </w:r>
            <w:r>
              <w:rPr>
                <w:noProof/>
                <w:webHidden/>
              </w:rPr>
              <w:t>9</w:t>
            </w:r>
            <w:r>
              <w:rPr>
                <w:noProof/>
                <w:webHidden/>
              </w:rPr>
              <w:fldChar w:fldCharType="end"/>
            </w:r>
          </w:hyperlink>
        </w:p>
        <w:p w14:paraId="57D4DA89" w14:textId="00B79ABC" w:rsidR="00DC4535" w:rsidRDefault="00DC4535">
          <w:pPr>
            <w:pStyle w:val="TOC2"/>
            <w:tabs>
              <w:tab w:val="left" w:pos="960"/>
              <w:tab w:val="right" w:leader="dot" w:pos="9350"/>
            </w:tabs>
            <w:rPr>
              <w:noProof/>
              <w:kern w:val="2"/>
              <w:sz w:val="24"/>
              <w:szCs w:val="24"/>
              <w:lang/>
              <w14:ligatures w14:val="standardContextual"/>
            </w:rPr>
          </w:pPr>
          <w:hyperlink w:anchor="_Toc233374304" w:history="1">
            <w:r w:rsidRPr="009D0E0E">
              <w:rPr>
                <w:rStyle w:val="Hyperlink"/>
                <w:noProof/>
              </w:rPr>
              <w:t>1.6</w:t>
            </w:r>
            <w:r>
              <w:rPr>
                <w:noProof/>
                <w:kern w:val="2"/>
                <w:sz w:val="24"/>
                <w:szCs w:val="24"/>
                <w:lang/>
                <w14:ligatures w14:val="standardContextual"/>
              </w:rPr>
              <w:tab/>
            </w:r>
            <w:r w:rsidRPr="009D0E0E">
              <w:rPr>
                <w:rStyle w:val="Hyperlink"/>
                <w:noProof/>
              </w:rPr>
              <w:t>Research gap</w:t>
            </w:r>
            <w:r>
              <w:rPr>
                <w:noProof/>
                <w:webHidden/>
              </w:rPr>
              <w:tab/>
            </w:r>
            <w:r>
              <w:rPr>
                <w:noProof/>
                <w:webHidden/>
              </w:rPr>
              <w:fldChar w:fldCharType="begin"/>
            </w:r>
            <w:r>
              <w:rPr>
                <w:noProof/>
                <w:webHidden/>
              </w:rPr>
              <w:instrText xml:space="preserve"> PAGEREF _Toc233374304 \h </w:instrText>
            </w:r>
            <w:r>
              <w:rPr>
                <w:noProof/>
                <w:webHidden/>
              </w:rPr>
            </w:r>
            <w:r>
              <w:rPr>
                <w:noProof/>
                <w:webHidden/>
              </w:rPr>
              <w:fldChar w:fldCharType="separate"/>
            </w:r>
            <w:r>
              <w:rPr>
                <w:noProof/>
                <w:webHidden/>
              </w:rPr>
              <w:t>11</w:t>
            </w:r>
            <w:r>
              <w:rPr>
                <w:noProof/>
                <w:webHidden/>
              </w:rPr>
              <w:fldChar w:fldCharType="end"/>
            </w:r>
          </w:hyperlink>
        </w:p>
        <w:p w14:paraId="1BD0A8E4" w14:textId="09E0EE2C" w:rsidR="00DC4535" w:rsidRDefault="00DC4535">
          <w:pPr>
            <w:pStyle w:val="TOC1"/>
            <w:tabs>
              <w:tab w:val="left" w:pos="480"/>
              <w:tab w:val="right" w:leader="dot" w:pos="9350"/>
            </w:tabs>
            <w:rPr>
              <w:noProof/>
              <w:kern w:val="2"/>
              <w:sz w:val="24"/>
              <w:szCs w:val="24"/>
              <w:lang/>
              <w14:ligatures w14:val="standardContextual"/>
            </w:rPr>
          </w:pPr>
          <w:hyperlink w:anchor="_Toc233374305" w:history="1">
            <w:r w:rsidRPr="009D0E0E">
              <w:rPr>
                <w:rStyle w:val="Hyperlink"/>
                <w:noProof/>
              </w:rPr>
              <w:t>2</w:t>
            </w:r>
            <w:r>
              <w:rPr>
                <w:noProof/>
                <w:kern w:val="2"/>
                <w:sz w:val="24"/>
                <w:szCs w:val="24"/>
                <w:lang/>
                <w14:ligatures w14:val="standardContextual"/>
              </w:rPr>
              <w:tab/>
            </w:r>
            <w:r w:rsidRPr="009D0E0E">
              <w:rPr>
                <w:rStyle w:val="Hyperlink"/>
                <w:noProof/>
              </w:rPr>
              <w:t>References</w:t>
            </w:r>
            <w:r>
              <w:rPr>
                <w:noProof/>
                <w:webHidden/>
              </w:rPr>
              <w:tab/>
            </w:r>
            <w:r>
              <w:rPr>
                <w:noProof/>
                <w:webHidden/>
              </w:rPr>
              <w:fldChar w:fldCharType="begin"/>
            </w:r>
            <w:r>
              <w:rPr>
                <w:noProof/>
                <w:webHidden/>
              </w:rPr>
              <w:instrText xml:space="preserve"> PAGEREF _Toc233374305 \h </w:instrText>
            </w:r>
            <w:r>
              <w:rPr>
                <w:noProof/>
                <w:webHidden/>
              </w:rPr>
            </w:r>
            <w:r>
              <w:rPr>
                <w:noProof/>
                <w:webHidden/>
              </w:rPr>
              <w:fldChar w:fldCharType="separate"/>
            </w:r>
            <w:r>
              <w:rPr>
                <w:noProof/>
                <w:webHidden/>
              </w:rPr>
              <w:t>13</w:t>
            </w:r>
            <w:r>
              <w:rPr>
                <w:noProof/>
                <w:webHidden/>
              </w:rPr>
              <w:fldChar w:fldCharType="end"/>
            </w:r>
          </w:hyperlink>
        </w:p>
        <w:p w14:paraId="4D0DB73E" w14:textId="2EEBF49E" w:rsidR="00DC4535" w:rsidRDefault="00DC4535">
          <w:r>
            <w:rPr>
              <w:b/>
              <w:bCs/>
              <w:noProof/>
            </w:rPr>
            <w:fldChar w:fldCharType="end"/>
          </w:r>
        </w:p>
      </w:sdtContent>
    </w:sdt>
    <w:p w14:paraId="332002D4" w14:textId="309818DB" w:rsidR="00DC4535" w:rsidRDefault="00DC4535" w:rsidP="00D2541A">
      <w:r>
        <w:br w:type="page"/>
      </w:r>
    </w:p>
    <w:p w14:paraId="55FE5F17" w14:textId="77777777" w:rsidR="00DC4535" w:rsidRDefault="00DC4535" w:rsidP="00D2541A"/>
    <w:p w14:paraId="7D348890" w14:textId="580B75D6" w:rsidR="004F2756" w:rsidRPr="00D2541A" w:rsidRDefault="00000000" w:rsidP="00D2541A">
      <w:pPr>
        <w:pStyle w:val="Heading1"/>
      </w:pPr>
      <w:bookmarkStart w:id="0" w:name="_Toc233374298"/>
      <w:r>
        <w:t>Literature review</w:t>
      </w:r>
      <w:bookmarkEnd w:id="0"/>
    </w:p>
    <w:p w14:paraId="6367E7D5" w14:textId="2BFDCF38" w:rsidR="004F2756" w:rsidRPr="00D2541A" w:rsidRDefault="00000000" w:rsidP="00D2541A">
      <w:pPr>
        <w:pStyle w:val="Heading2"/>
      </w:pPr>
      <w:bookmarkStart w:id="1" w:name="_Toc233374299"/>
      <w:r>
        <w:t>Introduction</w:t>
      </w:r>
      <w:bookmarkEnd w:id="1"/>
    </w:p>
    <w:p w14:paraId="2435C965" w14:textId="77777777" w:rsidR="004F2756" w:rsidRPr="00D2541A" w:rsidRDefault="00000000" w:rsidP="00D2541A">
      <w:pPr>
        <w:pStyle w:val="Hanging"/>
      </w:pPr>
      <w:r>
        <w:t>This chapter reviews the literature on the experiences of healthcare providers caring for children with major burns. The review is guided by the objectives of the study and by the need to place those objectives within a broader body of evidence on paediatric burn burden, clinical management, health-system constraints, and provider wellbeing. Literature was drawn mainly from Google Scholar and PubMed/Medline and included peer-reviewed journal articles, systematic and scoping reviews, registry studies, and selected grey literature. Search terms combined phrases such as paediatric burns, healthcare workers, nurses, major burns, Malawi, and low- and middle-income countries. Healthcare providers are understood here to include nurses, doctors, and other clinical staff directly involved in the care of children with burn injuries, while experience is taken to include clinical, emotional, relational, and organisational dimensions.</w:t>
      </w:r>
    </w:p>
    <w:p w14:paraId="3E7BFA90" w14:textId="77777777" w:rsidR="004F2756" w:rsidRPr="00D2541A" w:rsidRDefault="00000000" w:rsidP="00D2541A">
      <w:pPr>
        <w:pStyle w:val="Hanging"/>
      </w:pPr>
      <w:r>
        <w:t>The review focuses mainly on literature published between 2021 and 2026 in order to foreground the most recent evidence. That emphasis is useful because recent studies have sharpened understanding of paediatric burn epidemiology, referral pathways, care capacity, and the psychosocial burden of burn care on staff. At the same time, the newer literature also makes the gaps clearer. There is now substantial evidence on who is burned, how severe those injuries are, and which factors shape mortality and poor outcomes, but there is much less work on what it is actually like for healthcare workers to care for severely burned children under pressure (Jordan et al., 2022; Wondifraw et al., 2025). The field is therefore uneven: rich in epidemiology and service data, but thinner on lived experience.</w:t>
      </w:r>
    </w:p>
    <w:p w14:paraId="35483C1B" w14:textId="77777777" w:rsidR="004F2756" w:rsidRPr="00D2541A" w:rsidRDefault="00000000" w:rsidP="00D2541A">
      <w:pPr>
        <w:pStyle w:val="Hanging"/>
      </w:pPr>
      <w:r>
        <w:lastRenderedPageBreak/>
        <w:t>That imbalance matters for this study. Provider experience does not sit outside clinical care as a secondary issue. It is produced within the same conditions that shape survival, pain control, operative access, infection risk, rehabilitation, and family communication. A useful literature review must therefore do more than describe paediatric burn burden. It must show how injury severity, prolonged treatment, resource scarcity, and emotional labour are linked. Read together, the recent literature broadly converges on four claims: severe paediatric burns remain concentrated in low- and middle-income settings and among very young children (Jordan et al., 2022; Puthumana et al., 2021; Quinn et al., 2022; Wondifraw et al., 2025); outcomes are shaped not only by burn size or mechanism but also by delay, referral pathways, operative access, and wider care capacity (Purcell et al., 2021; Shah et al., 2024; Vlasic, Mwakyembe, Fleming, et al., 2025); major burn care is technically intense and organisationally demanding (Naber &amp; Sheridan, 2024; Palmieri, 2024; Pelizzo et al., 2025); and staff who deliver that care often describe it as emotionally exhausting and poorly supported (Bayuo &amp; Agbenorku, 2021; Dartey et al., 2023; Gupta et al., 2021; Karahan et al., 2022; Taşdemir &amp; Taşdemir, 2026).</w:t>
      </w:r>
    </w:p>
    <w:p w14:paraId="2F36B0D3" w14:textId="77777777" w:rsidR="004F2756" w:rsidRPr="00D2541A" w:rsidRDefault="00000000" w:rsidP="00D2541A">
      <w:pPr>
        <w:pStyle w:val="Hanging"/>
      </w:pPr>
      <w:r>
        <w:t>The structure of this review follows that logic. It begins with the burden and outcomes of paediatric major burns, then examines the clinical and health-system conditions in which care is delivered, before turning to the experiences, challenges, and support needs of providers. The review ends by identifying the gap that justifies the present study at Queen Elizabeth Central Hospital.</w:t>
      </w:r>
    </w:p>
    <w:p w14:paraId="602A6066" w14:textId="355056B6" w:rsidR="004F2756" w:rsidRPr="00D2541A" w:rsidRDefault="00000000" w:rsidP="00D2541A">
      <w:pPr>
        <w:pStyle w:val="Heading2"/>
      </w:pPr>
      <w:bookmarkStart w:id="2" w:name="_Toc233374300"/>
      <w:r>
        <w:t>Paediatric burn burden and its implications for healthcare provider experiences</w:t>
      </w:r>
      <w:bookmarkEnd w:id="2"/>
    </w:p>
    <w:p w14:paraId="54C10969" w14:textId="77777777" w:rsidR="004F2756" w:rsidRPr="00D2541A" w:rsidRDefault="00000000" w:rsidP="00D2541A">
      <w:pPr>
        <w:pStyle w:val="Hanging"/>
      </w:pPr>
      <w:r>
        <w:t xml:space="preserve">Recent literature consistently shows that paediatric burns remain a major problem in low- and middle-income countries, especially among children under five years (Jordan et al., 2022; Puthumana et al., 2021; Quinn et al., 2022). Registry evidence indicates that young children </w:t>
      </w:r>
      <w:r>
        <w:lastRenderedPageBreak/>
        <w:t>make up a large share of burn admissions and that many present with major burns requiring surgery or prolonged inpatient care (Jordan et al., 2022). Studies on cooking-related burns further show that the burden is closely tied to household risk, unsafe fuels, and domestic environments rather than random injury alone (Puthumana et al., 2021). The epidemiology is therefore socially patterned. It reflects prevention failures and living conditions as much as it reflects clinical events.</w:t>
      </w:r>
    </w:p>
    <w:p w14:paraId="0C92F19E" w14:textId="77777777" w:rsidR="004F2756" w:rsidRPr="00D2541A" w:rsidRDefault="00000000" w:rsidP="00D2541A">
      <w:pPr>
        <w:pStyle w:val="BodyText"/>
        <w:spacing w:line="480" w:lineRule="auto"/>
        <w:rPr>
          <w:rFonts w:asciiTheme="majorHAnsi" w:hAnsiTheme="majorHAnsi" w:cstheme="majorHAnsi"/>
          <w:sz w:val="24"/>
          <w:szCs w:val="24"/>
        </w:rPr>
      </w:pPr>
      <w:r>
        <w:rPr>
          <w:rFonts w:asciiTheme="majorHAnsi" w:hAnsiTheme="majorHAnsi" w:cstheme="majorHAnsi"/>
          <w:sz w:val="24"/>
          <w:szCs w:val="24"/>
        </w:rPr>
        <w:t>The outcomes literature complicates this picture by showing that poor results are not explained by burn severity alone. Across sub-Saharan Africa, worse outcomes are associated with young age, larger total body surface area, flame injury, and malnutrition (Wondifraw et al., 2025). Malawian and Tanzanian studies extend that finding by showing that transfer status, delayed arrival, and lack of operative intervention also shape mortality (Purcell et al., 2021; Shah et al., 2024; Vlasic, Mwakyembe, Fleming, et al., 2025). This matters analytically because it shifts attention from the injured child alone to the pathway of care. Mortality and morbidity are not simply biological consequences of burns; they are also indicators of how well prevention, referral, surgery, critical care, and inpatient support function together.</w:t>
      </w:r>
    </w:p>
    <w:p w14:paraId="7C4BE029" w14:textId="77777777" w:rsidR="004F2756" w:rsidRPr="00D2541A" w:rsidRDefault="00000000" w:rsidP="00D2541A">
      <w:pPr>
        <w:pStyle w:val="Hanging"/>
      </w:pPr>
      <w:r>
        <w:t>For the present study, two implications stand out. First, tertiary providers often receive the most vulnerable patients: very young children, children with severe burns, and children whose condition may have worsened through delay or incomplete early management (Purcell et al., 2021; Vlasic, Mwakyembe, Fleming, et al., 2025). Second, the provider burden is cumulative. Staff repeatedly confront injuries that are severe in themselves but are also intensified by wider system weakness. The burden literature is therefore useful not only as background, but as an early sign that provider experience is shaped before the child even arrives on the ward.</w:t>
      </w:r>
    </w:p>
    <w:p w14:paraId="05E373B8" w14:textId="77777777" w:rsidR="004F2756" w:rsidRPr="00D2541A" w:rsidRDefault="00000000" w:rsidP="00D2541A">
      <w:pPr>
        <w:pStyle w:val="Hanging"/>
      </w:pPr>
      <w:r>
        <w:lastRenderedPageBreak/>
        <w:t>A further point emerging from this literature is that paediatric burn burden is uneven not only between countries but within them. Multi-country surveys show wide differences in mortality, mechanism of injury, and length of stay across centres (Quinn et al., 2022), which suggests that the category of low- and middle-income settings can hide major differences in prevention environments, referral effectiveness, and institutional capacity. That is analytically important because it cautions against treating all resource-constrained settings as interchangeable. The same burn size may carry different implications depending on when the child presents, whether theatre access is available, and whether inpatient monitoring can be sustained. For provider-focused research, this matters because staff experience is likely shaped not by abstract national income level alone but by the specific organisation of local care. In other words, the burden literature does more than establish that paediatric burns are common and severe. It also suggests that provider experience will vary with patterns of delay, patient volume, and institutional readiness, which makes local qualitative evidence especially necessary.</w:t>
      </w:r>
    </w:p>
    <w:p w14:paraId="01DAFFD6" w14:textId="77777777" w:rsidR="004F2756" w:rsidRPr="00D2541A" w:rsidRDefault="00000000" w:rsidP="00D2541A">
      <w:pPr>
        <w:pStyle w:val="Hanging"/>
      </w:pPr>
      <w:r>
        <w:t>Still, this literature has a limit. It describes scale, pattern, and predictors with increasing precision, yet says little about what these patterns demand from healthcare workers at the bedside. To understand that, the clinical and organisational conditions of major burn care have to be considered more directly.</w:t>
      </w:r>
    </w:p>
    <w:p w14:paraId="49956BBD" w14:textId="542AFBED" w:rsidR="004F2756" w:rsidRPr="00D2541A" w:rsidRDefault="00000000" w:rsidP="00D2541A">
      <w:pPr>
        <w:pStyle w:val="Heading2"/>
      </w:pPr>
      <w:bookmarkStart w:id="3" w:name="_Toc233374301"/>
      <w:r>
        <w:t>Health-system conditions shaping challenges in paediatric burn care</w:t>
      </w:r>
      <w:bookmarkEnd w:id="3"/>
    </w:p>
    <w:p w14:paraId="045317F2" w14:textId="77777777" w:rsidR="004F2756" w:rsidRPr="00D2541A" w:rsidRDefault="00000000" w:rsidP="00D2541A">
      <w:pPr>
        <w:pStyle w:val="Hanging"/>
      </w:pPr>
      <w:r>
        <w:t xml:space="preserve">The clinical literature presents major paediatric burns as among the most demanding injuries in acute care (Naber &amp; Sheridan, 2024; Palmieri, 2024; Pelizzo et al., 2025). Children have distinct physiological vulnerability, can deteriorate rapidly, and often require simultaneous attention to airway compromise, fluid resuscitation, pain management, wound care, infection surveillance, nutrition, surgery, rehabilitation, and family support (Naber &amp; Sheridan, 2024; </w:t>
      </w:r>
      <w:r>
        <w:lastRenderedPageBreak/>
        <w:t>Pelizzo et al., 2025). Burn care is therefore not a single intervention but a prolonged chain of interdependent tasks. That complexity helps explain why provider experience cannot be understood through emotional language alone; it is rooted in technically difficult work.</w:t>
      </w:r>
    </w:p>
    <w:p w14:paraId="02CA40B6" w14:textId="77777777" w:rsidR="004F2756" w:rsidRPr="00D2541A" w:rsidRDefault="00000000" w:rsidP="00D2541A">
      <w:pPr>
        <w:pStyle w:val="Hanging"/>
      </w:pPr>
      <w:r>
        <w:t>Yet the same literature also suggests that clinical complexity becomes most burdensome when it meets structural constraint. Good paediatric burn care assumes access to protocols, trained staff, analgesia, operating theatre time, blood products, rehabilitation, and continuous monitoring (Jordan et al., 2022; Naber &amp; Sheridan, 2024). In low-resource settings those supports may be inconsistent. Evidence from Malawi is especially instructive here. Healthcare workers in one tertiary setting reported that burn fluid resuscitation was hindered by weak post-training preparation, inconsistent protocols, limited supplies, and the absence of a dedicated burns unit (Ng’ambi et al., 2025). The issue was not simply lack of knowledge. It was the recurring gap between what staff knew should happen and what the system allowed them to do.</w:t>
      </w:r>
    </w:p>
    <w:p w14:paraId="24213686" w14:textId="77777777" w:rsidR="004F2756" w:rsidRPr="00D2541A" w:rsidRDefault="00000000" w:rsidP="00D2541A">
      <w:pPr>
        <w:pStyle w:val="Hanging"/>
      </w:pPr>
      <w:r>
        <w:t>Recent system-level studies reinforce that interpretation. Global and regional work shows that paediatric burn outcomes in low-resource settings are shaped by delay, referral inefficiency, uneven hospital capacity, and limits in critical care, theatre access, and rehabilitation (Jordan et al., 2022; Vlasic, Mwakyembe, Sakita, et al., 2025). Malawian research similarly shows that transferred paediatric burn patients have higher odds of death (Shah et al., 2024), while financing work points to the absence of dedicated trauma or burn financing and the structural persistence of resource shortage (Aminu et al., 2026). Read together, these studies suggest that the healthcare worker often functions as the point where systemic weakness is translated into daily clinical decisions.</w:t>
      </w:r>
    </w:p>
    <w:p w14:paraId="29357332" w14:textId="77777777" w:rsidR="004F2756" w:rsidRPr="00D2541A" w:rsidRDefault="00000000" w:rsidP="00D2541A">
      <w:pPr>
        <w:pStyle w:val="Hanging"/>
      </w:pPr>
      <w:r>
        <w:t xml:space="preserve">The literature also makes clear that time is a hidden dimension of burden. Major burns rarely involve one decisive moment of treatment followed by predictable recovery. They require </w:t>
      </w:r>
      <w:r>
        <w:lastRenderedPageBreak/>
        <w:t>repeated reassessment, ongoing pain control, serial wound care, nutritional support, monitoring for infection, and in many cases staged operative management and rehabilitation (Naber &amp; Sheridan, 2024; Palmieri, 2024; Pelizzo et al., 2025). This prolonged trajectory matters because it ties up staff attention and material resources over days or weeks rather than hours. In overstretched wards, the practical consequence is that one child with a major burn may represent not only one admission but a continuing set of demands on dressings, analgesia, observation, counselling, and documentation. The clinical literature therefore supports a broader interpretation of workload: it is not simply the number of patients that matters, but the intensity and duration of the care each child requires.</w:t>
      </w:r>
    </w:p>
    <w:p w14:paraId="02911EB5" w14:textId="77777777" w:rsidR="004F2756" w:rsidRPr="00D2541A" w:rsidRDefault="00000000" w:rsidP="00D2541A">
      <w:pPr>
        <w:pStyle w:val="Hanging"/>
      </w:pPr>
      <w:r>
        <w:t>A related issue is prioritisation. Where equipment, staff, theatre space, and blood products are constrained, providers may have to make repeated judgments about what can be done now, what must wait, and what standard of care is realistically achievable. Financing and capacity studies in Malawi imply that such compromise is not exceptional but structurally embedded (Aminu et al., 2026; Ng’ambi et al., 2025). Yet most clinical papers discuss these constraints from the standpoint of service delivery rather than from the standpoint of the people who must work through them. This creates an important gap in the literature. It leaves underexplored how providers interpret compromise itself: whether they see it as routine adaptation, professional frustration, moral distress, or all three at once. That question is especially relevant in qualitative work, because the lived meaning of adaptation may shape both wellbeing and care practices.</w:t>
      </w:r>
    </w:p>
    <w:p w14:paraId="1453BB8E" w14:textId="77777777" w:rsidR="004F2756" w:rsidRPr="00D2541A" w:rsidRDefault="00000000" w:rsidP="00D2541A">
      <w:pPr>
        <w:pStyle w:val="Hanging"/>
      </w:pPr>
      <w:r>
        <w:t xml:space="preserve">This intersection of technical demand and resource scarcity is central to the present study. When protocols are inconsistent, staffing is thin, theatre access is constrained, and children arrive late or severely unwell, providers are not simply practising burn care; they are constantly </w:t>
      </w:r>
      <w:r>
        <w:lastRenderedPageBreak/>
        <w:t>adapting it. That is precisely why the literature on provider experience becomes important. It shows what this adaptation costs in emotional, relational, and professional terms.</w:t>
      </w:r>
    </w:p>
    <w:p w14:paraId="6B4EFA19" w14:textId="36E87584" w:rsidR="004F2756" w:rsidRPr="00D2541A" w:rsidRDefault="00000000" w:rsidP="00D2541A">
      <w:pPr>
        <w:pStyle w:val="Heading2"/>
      </w:pPr>
      <w:bookmarkStart w:id="4" w:name="_Toc233374302"/>
      <w:r>
        <w:t>Experiences and challenges of healthcare providers</w:t>
      </w:r>
      <w:bookmarkEnd w:id="4"/>
    </w:p>
    <w:p w14:paraId="4FDD74D0" w14:textId="77777777" w:rsidR="004F2756" w:rsidRPr="00D2541A" w:rsidRDefault="00000000" w:rsidP="00D2541A">
      <w:pPr>
        <w:pStyle w:val="Hanging"/>
      </w:pPr>
      <w:r>
        <w:t>Although smaller than the burden and management literature, provider-focused studies are strikingly consistent. Across qualitative studies, reviews, and occupational-stress research, healthcare workers in burn settings describe their work as emotionally draining, physically exhausting, and insufficiently supported (Bayuo &amp; Agbenorku, 2021; Gupta et al., 2021; Gupta et al., 2024; Karahan et al., 2022; Taşdemir &amp; Taşdemir, 2026). The consistency matters because it suggests that provider strain is not incidental. It is a recurrent feature of burn care.</w:t>
      </w:r>
    </w:p>
    <w:p w14:paraId="7DD72068" w14:textId="77777777" w:rsidR="004F2756" w:rsidRPr="00D2541A" w:rsidRDefault="00000000" w:rsidP="00D2541A">
      <w:pPr>
        <w:pStyle w:val="Hanging"/>
      </w:pPr>
      <w:r>
        <w:t>One major theme is the emotional difficulty of necessary but painful treatment. Nurses describe dressing changes, wound care, mobilisation, and other procedures as clinically essential yet emotionally distressing, especially when children are frightened or in severe pain (Karahan et al., 2022; Taşdemir &amp; Taşdemir, 2026). Work on emotion regulation during dressing changes shows that providers often suppress or manage their own feelings in order to continue treatment (Rudkin et al., 2024). This is more than ordinary occupational stress. It is a form of moral labour in which the provider must inflict short-term pain for therapeutic reasons while remaining exposed to the suffering that pain causes.</w:t>
      </w:r>
    </w:p>
    <w:p w14:paraId="4103359C" w14:textId="77777777" w:rsidR="004F2756" w:rsidRPr="00D2541A" w:rsidRDefault="00000000" w:rsidP="00D2541A">
      <w:pPr>
        <w:pStyle w:val="Hanging"/>
      </w:pPr>
      <w:r>
        <w:t xml:space="preserve">A second theme is that provider burden is relational as well as procedural. In paediatric burn care, the child’s suffering is rarely encountered alone. It is mediated through parents or guardians who may be distressed, confused, grieving, or frustrated by prolonged admission and uncertain recovery (Taşdemir &amp; Taşdemir, 2026). Providers therefore carry not only the work of treating the burn, but also the work of explaining, reassuring, negotiating, and sometimes </w:t>
      </w:r>
      <w:r>
        <w:lastRenderedPageBreak/>
        <w:t>absorbing blame. The literature suggests that communication with families is not peripheral to burn care; it is one of the reasons the work becomes emotionally heavy.</w:t>
      </w:r>
    </w:p>
    <w:p w14:paraId="332C7704" w14:textId="77777777" w:rsidR="004F2756" w:rsidRPr="00D2541A" w:rsidRDefault="00000000" w:rsidP="00D2541A">
      <w:pPr>
        <w:pStyle w:val="Hanging"/>
      </w:pPr>
      <w:r>
        <w:t>A third theme is the persistence of organisational frustration. Studies repeatedly link provider distress to staffing shortages, weak institutional support, limited specialised training, and inadequate resources rather than to individual weakness alone (Bayuo &amp; Agbenorku, 2021; Gupta et al., 2021; Taşdemir &amp; Taşdemir, 2026; Yelvington et al., 2024). This is a critical point. If provider strain is treated only as burnout at the level of the individual, the structural causes of that strain disappear from view. The better studies show the opposite: emotional burden intensifies where teams are understaffed, pain management is imperfect, specialised preparation is weak, or psychological support is absent (Gupta et al., 2021; Karahan et al., 2022; Taşdemir &amp; Taşdemir, 2026). Provider experience is therefore organisationally produced, even though it is personally felt.</w:t>
      </w:r>
    </w:p>
    <w:p w14:paraId="4BDEAA05" w14:textId="77777777" w:rsidR="004F2756" w:rsidRPr="00D2541A" w:rsidRDefault="00000000" w:rsidP="00D2541A">
      <w:pPr>
        <w:pStyle w:val="Hanging"/>
      </w:pPr>
      <w:r>
        <w:t>Another recurring but underdeveloped theme is coping. Several studies imply that providers rely on emotional distancing, teamwork, routine, faith, or personal resilience to continue working in distressing conditions (Dartey et al., 2023; Gupta et al., 2024; Karahan et al., 2022). Yet this part of the literature is still more descriptive than analytical. It identifies coping strategies but rarely asks what such strategies cost over time or whether they protect care quality. Emotional distancing, for example, may help a nurse complete a painful dressing change, but it may also narrow space for empathy if sustained too long. Similarly, reliance on informal peer support may be helpful in the short term while also masking the absence of institutional psychological support. The literature therefore hints that coping is double-edged: it sustains practice, but may also normalise unsupported strain.</w:t>
      </w:r>
    </w:p>
    <w:p w14:paraId="382D6C4A" w14:textId="77777777" w:rsidR="004F2756" w:rsidRPr="00D2541A" w:rsidRDefault="00000000" w:rsidP="00D2541A">
      <w:pPr>
        <w:pStyle w:val="Hanging"/>
      </w:pPr>
      <w:r>
        <w:lastRenderedPageBreak/>
        <w:t>The evidence also suggests that provider experience may differ across professional roles, though this has not been well examined. Most studies foreground nurses because they spend the most continuous time at the bedside, but doctors, anaesthesia staff, rehabilitation workers, and other team members likely encounter the same case through different forms of responsibility. A doctor may carry the burden of urgent decisions under uncertainty, while a nurse may carry the burden of repeated painful procedures and prolonged bedside contact. A therapist may experience frustration around rehabilitation adherence or scar management. Because much of the literature remains nurse-centred (Gupta et al., 2024; Karahan et al., 2022; Taşdemir &amp; Taşdemir, 2026), it risks narrowing the field of experience too quickly. Dartey and colleagues provide an important African contribution by showing that nurses caring for burned children in Ghana report emotional strain, practical difficulty, and coping efforts similar to those found elsewhere (Dartey et al., 2023). Even so, African evidence remains limited, multidisciplinary evidence is even thinner, and Malawi-specific provider evidence remains especially sparse.</w:t>
      </w:r>
    </w:p>
    <w:p w14:paraId="41A030FE" w14:textId="6C76E3A7" w:rsidR="004F2756" w:rsidRPr="00D2541A" w:rsidRDefault="00000000" w:rsidP="00D2541A">
      <w:pPr>
        <w:pStyle w:val="Heading2"/>
      </w:pPr>
      <w:bookmarkStart w:id="5" w:name="_Toc233374303"/>
      <w:r>
        <w:t>Support needs and implications for the present study</w:t>
      </w:r>
      <w:bookmarkEnd w:id="5"/>
    </w:p>
    <w:p w14:paraId="39845F82" w14:textId="77777777" w:rsidR="004F2756" w:rsidRPr="00D2541A" w:rsidRDefault="00000000" w:rsidP="00D2541A">
      <w:pPr>
        <w:pStyle w:val="Hanging"/>
      </w:pPr>
      <w:r>
        <w:t>The provider literature does not only identify distress; it also points, sometimes indirectly, to support needs. Across studies, staff call for stronger specialised training, better pain-management support, improved staffing, clearer protocols, and more institutional recognition of the emotional demands of burn care (Gupta et al., 2021; Karahan et al., 2022; Taşdemir &amp; Taşdemir, 2026). Some studies also imply the need for multidisciplinary teamwork and psychological support systems rather than relying solely on personal coping (Bayuo &amp; Agbenorku, 2021; Yelvington et al., 2024). The important point is that support needs are not separate from clinical quality. Where staff lack preparation, equipment, or emotional support, the quality and sustainability of care are also threatened.</w:t>
      </w:r>
    </w:p>
    <w:p w14:paraId="2650D2E6" w14:textId="77777777" w:rsidR="004F2756" w:rsidRPr="00D2541A" w:rsidRDefault="00000000" w:rsidP="00D2541A">
      <w:pPr>
        <w:pStyle w:val="Hanging"/>
      </w:pPr>
      <w:r>
        <w:lastRenderedPageBreak/>
        <w:t>In Malawi, this issue becomes sharper because the existing literature already shows significant structural strain. Recent studies have clarified mortality patterns, transfer-related risk, financing gaps, and barriers to selected treatment processes (Aminu et al., 2026; Ng’ambi et al., 2025; Purcell et al., 2021; Shah et al., 2024). What remains largely unexamined is how healthcare workers themselves interpret these conditions in daily practice. The literature says little about how they experience repeated exposure to children’s pain, how they navigate shortages, how they cope with moral distress, or what forms of support they see as most necessary.</w:t>
      </w:r>
    </w:p>
    <w:p w14:paraId="05B77EC6" w14:textId="77777777" w:rsidR="004F2756" w:rsidRPr="00D2541A" w:rsidRDefault="00000000" w:rsidP="00D2541A">
      <w:pPr>
        <w:pStyle w:val="Hanging"/>
      </w:pPr>
      <w:r>
        <w:t>The support literature itself also has limits. It is stronger at identifying what is missing than at evaluating which responses work best. Calls for more staffing, better specialised training, clearer protocols, and psychological support are common (Gupta et al., 2021; Karahan et al., 2022; Taşdemir &amp; Taşdemir, 2026), but few studies test structured interventions or compare different support models in resource-constrained burn settings. As a result, the field knows more about the existence of need than about the most feasible response to that need. This is a weakness in practical terms, because support recommendations can easily become generic unless they are grounded in the realities of a particular service.</w:t>
      </w:r>
    </w:p>
    <w:p w14:paraId="6B8734C3" w14:textId="77777777" w:rsidR="004F2756" w:rsidRPr="00D2541A" w:rsidRDefault="00000000" w:rsidP="00D2541A">
      <w:pPr>
        <w:pStyle w:val="Hanging"/>
      </w:pPr>
      <w:r>
        <w:t xml:space="preserve">This gap is not only geographic but also conceptual. Existing literature often discusses epidemiology, clinical management, systems barriers, and staff wellbeing in parallel. Yet the experience of caring for children with major burns sits at the intersection of all four. It is in day-to-day practice that these domains converge: the severity of the child’s condition shapes workload, shortages shape clinical choices, family distress shapes communication, and repeated exposure to suffering shapes the emotional climate of care. A qualitative study at Queen Elizabeth Central Hospital is therefore justified because it can show how severe injury, complex </w:t>
      </w:r>
      <w:r>
        <w:lastRenderedPageBreak/>
        <w:t>care, resource scarcity, and provider wellbeing are lived together rather than as separate categories. It can also clarify whether providers see their main challenges as material, emotional, organisational, or relational, and how those dimensions interact in routine practice. In that sense, the study is positioned not only to document difficulty but also to make later support recommendations more context-sensitive and more credible.</w:t>
      </w:r>
    </w:p>
    <w:p w14:paraId="3D001DF1" w14:textId="35EDB747" w:rsidR="004F2756" w:rsidRPr="00D2541A" w:rsidRDefault="00000000" w:rsidP="00D2541A">
      <w:pPr>
        <w:pStyle w:val="Heading2"/>
      </w:pPr>
      <w:bookmarkStart w:id="6" w:name="_Toc233374304"/>
      <w:r>
        <w:t>Research gap</w:t>
      </w:r>
      <w:bookmarkEnd w:id="6"/>
    </w:p>
    <w:p w14:paraId="48897F31" w14:textId="77777777" w:rsidR="004F2756" w:rsidRPr="00D2541A" w:rsidRDefault="00000000" w:rsidP="00D2541A">
      <w:pPr>
        <w:pStyle w:val="Hanging"/>
      </w:pPr>
      <w:r>
        <w:t>Taken together, the literature establishes that paediatric major burns remain common among very young children in low-resource settings, that outcomes are shaped by both injury severity and health-system weakness, and that the care required is prolonged, technically demanding, and emotionally heavy (Jordan et al., 2022; Naber &amp; Sheridan, 2024; Palmieri, 2024; Purcell et al., 2021; Shah et al., 2024; Wondifraw et al., 2025). It also shows that healthcare workers in burn settings frequently report stress, emotional fatigue, organisational frustration, and inadequate support (Bayuo &amp; Agbenorku, 2021; Gupta et al., 2021; Karahan et al., 2022; Taşdemir &amp; Taşdemir, 2026).</w:t>
      </w:r>
    </w:p>
    <w:p w14:paraId="5DE15011" w14:textId="77777777" w:rsidR="004F2756" w:rsidRPr="00D2541A" w:rsidRDefault="00000000" w:rsidP="00D2541A">
      <w:pPr>
        <w:pStyle w:val="Hanging"/>
      </w:pPr>
      <w:r>
        <w:t>What remains insufficiently explored is how these pressures are experienced by healthcare providers caring for children with major burns in Malawi, and specifically at Queen Elizabeth Central Hospital. The present study addresses that gap by focusing directly on providers’ experiences, the challenges they face, and the support they need within a resource-constrained public-hospital setting.</w:t>
      </w:r>
    </w:p>
    <w:p w14:paraId="27C99124" w14:textId="77777777" w:rsidR="004F2756" w:rsidRPr="00D2541A" w:rsidRDefault="00000000" w:rsidP="00D2541A">
      <w:pPr>
        <w:spacing w:line="480" w:lineRule="auto"/>
        <w:rPr>
          <w:rFonts w:asciiTheme="majorHAnsi" w:hAnsiTheme="majorHAnsi" w:cstheme="majorHAnsi"/>
          <w:sz w:val="24"/>
          <w:szCs w:val="24"/>
        </w:rPr>
      </w:pPr>
      <w:r>
        <w:rPr>
          <w:rFonts w:asciiTheme="majorHAnsi" w:hAnsiTheme="majorHAnsi" w:cstheme="majorHAnsi"/>
          <w:sz w:val="24"/>
          <w:szCs w:val="24"/>
        </w:rPr>
        <w:br w:type="page"/>
      </w:r>
    </w:p>
    <w:p w14:paraId="7AD1DA4E" w14:textId="77777777" w:rsidR="004F2756" w:rsidRPr="00D2541A" w:rsidRDefault="00000000" w:rsidP="00D2541A">
      <w:pPr>
        <w:pStyle w:val="Heading1"/>
      </w:pPr>
      <w:bookmarkStart w:id="7" w:name="_Toc233371327"/>
      <w:bookmarkStart w:id="8" w:name="_Toc233374305"/>
      <w:r>
        <w:lastRenderedPageBreak/>
        <w:t>References</w:t>
      </w:r>
      <w:bookmarkEnd w:id="7"/>
      <w:bookmarkEnd w:id="8"/>
    </w:p>
    <w:p w14:paraId="5FB0E66F"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9" w:name="ref-Ami26"/>
      <w:bookmarkStart w:id="10" w:name="refs"/>
      <w:r>
        <w:rPr>
          <w:rFonts w:asciiTheme="majorHAnsi" w:hAnsiTheme="majorHAnsi" w:cstheme="majorHAnsi"/>
          <w:sz w:val="24"/>
          <w:szCs w:val="24"/>
        </w:rPr>
        <w:t xml:space="preserve">Aminu, K., Adegbile, O., Omobowale, O., Jayasinghe, Y., Olorunlana, A., Nnannah, P., Okeke, E., Eze, U., Salami, A., Nwebo, R. A., &amp; Kanmodi, K. (2026). Financing of Trauma and Burn Prevention and Care in Malawi: A Scoping Review. </w:t>
      </w:r>
      <w:r>
        <w:rPr>
          <w:rFonts w:asciiTheme="majorHAnsi" w:hAnsiTheme="majorHAnsi" w:cstheme="majorHAnsi"/>
          <w:i/>
          <w:iCs/>
          <w:sz w:val="24"/>
          <w:szCs w:val="24"/>
        </w:rPr>
        <w:t>Health Science Reports</w:t>
      </w:r>
      <w:r>
        <w:rPr>
          <w:rFonts w:asciiTheme="majorHAnsi" w:hAnsiTheme="majorHAnsi" w:cstheme="majorHAnsi"/>
          <w:sz w:val="24"/>
          <w:szCs w:val="24"/>
        </w:rPr>
        <w:t xml:space="preserve">, </w:t>
      </w:r>
      <w:r>
        <w:rPr>
          <w:rFonts w:asciiTheme="majorHAnsi" w:hAnsiTheme="majorHAnsi" w:cstheme="majorHAnsi"/>
          <w:i/>
          <w:iCs/>
          <w:sz w:val="24"/>
          <w:szCs w:val="24"/>
        </w:rPr>
        <w:t>9</w:t>
      </w:r>
      <w:r>
        <w:rPr>
          <w:rFonts w:asciiTheme="majorHAnsi" w:hAnsiTheme="majorHAnsi" w:cstheme="majorHAnsi"/>
          <w:sz w:val="24"/>
          <w:szCs w:val="24"/>
        </w:rPr>
        <w:t xml:space="preserve">. </w:t>
      </w:r>
      <w:hyperlink r:id="rId8">
        <w:r w:rsidR="004F2756">
          <w:rPr>
            <w:rStyle w:val="Hyperlink"/>
            <w:rFonts w:asciiTheme="majorHAnsi" w:hAnsiTheme="majorHAnsi" w:cstheme="majorHAnsi"/>
            <w:sz w:val="24"/>
            <w:szCs w:val="24"/>
          </w:rPr>
          <w:t>https://doi.org/10.1002/hsr2.72462</w:t>
        </w:r>
      </w:hyperlink>
    </w:p>
    <w:p w14:paraId="20851328" w14:textId="77777777" w:rsidR="004F2756" w:rsidRPr="00D2541A" w:rsidRDefault="00000000" w:rsidP="00D2541A">
      <w:pPr>
        <w:pStyle w:val="Bibliography"/>
        <w:spacing w:line="480" w:lineRule="auto"/>
        <w:ind w:left="720" w:hanging="720"/>
        <w:rPr>
          <w:rFonts w:asciiTheme="majorHAnsi" w:hAnsiTheme="majorHAnsi" w:cstheme="majorHAnsi"/>
          <w:sz w:val="24"/>
          <w:szCs w:val="24"/>
          <w:lang w:val="it-IT"/>
        </w:rPr>
      </w:pPr>
      <w:bookmarkStart w:id="11" w:name="ref-Bay21"/>
      <w:bookmarkEnd w:id="9"/>
      <w:r>
        <w:rPr>
          <w:rFonts w:asciiTheme="majorHAnsi" w:hAnsiTheme="majorHAnsi" w:cstheme="majorHAnsi"/>
          <w:sz w:val="24"/>
          <w:szCs w:val="24"/>
        </w:rPr>
        <w:t xml:space="preserve">Bayuo, J., &amp; Agbenorku, P. (2021). Compassion Fatigue in the Burn Unit: A Review of Quantitative Evidence. </w:t>
      </w:r>
      <w:r>
        <w:rPr>
          <w:rFonts w:asciiTheme="majorHAnsi" w:hAnsiTheme="majorHAnsi" w:cstheme="majorHAnsi"/>
          <w:i/>
          <w:iCs/>
          <w:sz w:val="24"/>
          <w:szCs w:val="24"/>
        </w:rPr>
        <w:t>Journal of Burn Care &amp; Research : Official Publication of the American Burn Association</w:t>
      </w:r>
      <w:r>
        <w:rPr>
          <w:rFonts w:asciiTheme="majorHAnsi" w:hAnsiTheme="majorHAnsi" w:cstheme="majorHAnsi"/>
          <w:sz w:val="24"/>
          <w:szCs w:val="24"/>
        </w:rPr>
        <w:t xml:space="preserve">. </w:t>
      </w:r>
      <w:hyperlink r:id="rId9">
        <w:r w:rsidR="004F2756">
          <w:rPr>
            <w:rStyle w:val="Hyperlink"/>
            <w:rFonts w:asciiTheme="majorHAnsi" w:hAnsiTheme="majorHAnsi" w:cstheme="majorHAnsi"/>
            <w:sz w:val="24"/>
            <w:szCs w:val="24"/>
            <w:lang w:val="it-IT"/>
          </w:rPr>
          <w:t>https://doi.org/10.1093/jbcr/irab237</w:t>
        </w:r>
      </w:hyperlink>
    </w:p>
    <w:p w14:paraId="2C3CAF69"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2" w:name="ref-Dar23"/>
      <w:bookmarkEnd w:id="11"/>
      <w:r>
        <w:rPr>
          <w:rFonts w:asciiTheme="majorHAnsi" w:hAnsiTheme="majorHAnsi" w:cstheme="majorHAnsi"/>
          <w:sz w:val="24"/>
          <w:szCs w:val="24"/>
          <w:lang w:val="it-IT"/>
        </w:rPr>
        <w:t xml:space="preserve">Dartey, A. F., Dzansi, G., Ohene, L., Salia, S. M., Sarpong, E., &amp; Armah-Kessey, M. (2023). </w:t>
      </w:r>
      <w:r>
        <w:rPr>
          <w:rFonts w:asciiTheme="majorHAnsi" w:hAnsiTheme="majorHAnsi" w:cstheme="majorHAnsi"/>
          <w:sz w:val="24"/>
          <w:szCs w:val="24"/>
        </w:rPr>
        <w:t xml:space="preserve">Experiences of Nurses Caring for Children Under Five Years with Burns at a Teaching Hospital in Ghana. </w:t>
      </w:r>
      <w:r>
        <w:rPr>
          <w:rFonts w:asciiTheme="majorHAnsi" w:hAnsiTheme="majorHAnsi" w:cstheme="majorHAnsi"/>
          <w:i/>
          <w:iCs/>
          <w:sz w:val="24"/>
          <w:szCs w:val="24"/>
        </w:rPr>
        <w:t>Nursing &amp; Midwifery Research Journal</w:t>
      </w:r>
      <w:r>
        <w:rPr>
          <w:rFonts w:asciiTheme="majorHAnsi" w:hAnsiTheme="majorHAnsi" w:cstheme="majorHAnsi"/>
          <w:sz w:val="24"/>
          <w:szCs w:val="24"/>
        </w:rPr>
        <w:t xml:space="preserve">, </w:t>
      </w:r>
      <w:r>
        <w:rPr>
          <w:rFonts w:asciiTheme="majorHAnsi" w:hAnsiTheme="majorHAnsi" w:cstheme="majorHAnsi"/>
          <w:i/>
          <w:iCs/>
          <w:sz w:val="24"/>
          <w:szCs w:val="24"/>
        </w:rPr>
        <w:t>19</w:t>
      </w:r>
      <w:r>
        <w:rPr>
          <w:rFonts w:asciiTheme="majorHAnsi" w:hAnsiTheme="majorHAnsi" w:cstheme="majorHAnsi"/>
          <w:sz w:val="24"/>
          <w:szCs w:val="24"/>
        </w:rPr>
        <w:t xml:space="preserve">, 198–210. </w:t>
      </w:r>
      <w:hyperlink r:id="rId10">
        <w:r w:rsidR="004F2756">
          <w:rPr>
            <w:rStyle w:val="Hyperlink"/>
            <w:rFonts w:asciiTheme="majorHAnsi" w:hAnsiTheme="majorHAnsi" w:cstheme="majorHAnsi"/>
            <w:sz w:val="24"/>
            <w:szCs w:val="24"/>
          </w:rPr>
          <w:t>https://doi.org/10.1177/0974150X231204172</w:t>
        </w:r>
      </w:hyperlink>
    </w:p>
    <w:p w14:paraId="2F222CBB"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3" w:name="ref-Gup24"/>
      <w:bookmarkEnd w:id="12"/>
      <w:r>
        <w:rPr>
          <w:rFonts w:asciiTheme="majorHAnsi" w:hAnsiTheme="majorHAnsi" w:cstheme="majorHAnsi"/>
          <w:sz w:val="24"/>
          <w:szCs w:val="24"/>
        </w:rPr>
        <w:t xml:space="preserve">Gupta, K., Monaliza, M., Das, K., &amp; Sharma, R. (2024). Emotional Consequences of Burn Nursing: A Phenomenological Approach. </w:t>
      </w:r>
      <w:r>
        <w:rPr>
          <w:rFonts w:asciiTheme="majorHAnsi" w:hAnsiTheme="majorHAnsi" w:cstheme="majorHAnsi"/>
          <w:i/>
          <w:iCs/>
          <w:sz w:val="24"/>
          <w:szCs w:val="24"/>
        </w:rPr>
        <w:t>Hospital Topics</w:t>
      </w:r>
      <w:r>
        <w:rPr>
          <w:rFonts w:asciiTheme="majorHAnsi" w:hAnsiTheme="majorHAnsi" w:cstheme="majorHAnsi"/>
          <w:sz w:val="24"/>
          <w:szCs w:val="24"/>
        </w:rPr>
        <w:t xml:space="preserve">, </w:t>
      </w:r>
      <w:r>
        <w:rPr>
          <w:rFonts w:asciiTheme="majorHAnsi" w:hAnsiTheme="majorHAnsi" w:cstheme="majorHAnsi"/>
          <w:i/>
          <w:iCs/>
          <w:sz w:val="24"/>
          <w:szCs w:val="24"/>
        </w:rPr>
        <w:t>103</w:t>
      </w:r>
      <w:r>
        <w:rPr>
          <w:rFonts w:asciiTheme="majorHAnsi" w:hAnsiTheme="majorHAnsi" w:cstheme="majorHAnsi"/>
          <w:sz w:val="24"/>
          <w:szCs w:val="24"/>
        </w:rPr>
        <w:t xml:space="preserve">, 277–283. </w:t>
      </w:r>
      <w:hyperlink r:id="rId11">
        <w:r w:rsidR="004F2756">
          <w:rPr>
            <w:rStyle w:val="Hyperlink"/>
            <w:rFonts w:asciiTheme="majorHAnsi" w:hAnsiTheme="majorHAnsi" w:cstheme="majorHAnsi"/>
            <w:sz w:val="24"/>
            <w:szCs w:val="24"/>
          </w:rPr>
          <w:t>https://doi.org/10.1080/00185868.2024.2393209</w:t>
        </w:r>
      </w:hyperlink>
    </w:p>
    <w:p w14:paraId="4D1AD6C0"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4" w:name="ref-Gup21"/>
      <w:bookmarkEnd w:id="13"/>
      <w:r>
        <w:rPr>
          <w:rFonts w:asciiTheme="majorHAnsi" w:hAnsiTheme="majorHAnsi" w:cstheme="majorHAnsi"/>
          <w:sz w:val="24"/>
          <w:szCs w:val="24"/>
        </w:rPr>
        <w:t xml:space="preserve">Gupta, K., Monaliza, M., Das, K., &amp; Sharma, R. (2021). Occupational Stress- Addressing Woes of the Nurses in a Burn Unit. </w:t>
      </w:r>
      <w:r>
        <w:rPr>
          <w:rFonts w:asciiTheme="majorHAnsi" w:hAnsiTheme="majorHAnsi" w:cstheme="majorHAnsi"/>
          <w:i/>
          <w:iCs/>
          <w:sz w:val="24"/>
          <w:szCs w:val="24"/>
        </w:rPr>
        <w:t>Hospital Topics</w:t>
      </w:r>
      <w:r>
        <w:rPr>
          <w:rFonts w:asciiTheme="majorHAnsi" w:hAnsiTheme="majorHAnsi" w:cstheme="majorHAnsi"/>
          <w:sz w:val="24"/>
          <w:szCs w:val="24"/>
        </w:rPr>
        <w:t xml:space="preserve">, </w:t>
      </w:r>
      <w:r>
        <w:rPr>
          <w:rFonts w:asciiTheme="majorHAnsi" w:hAnsiTheme="majorHAnsi" w:cstheme="majorHAnsi"/>
          <w:i/>
          <w:iCs/>
          <w:sz w:val="24"/>
          <w:szCs w:val="24"/>
        </w:rPr>
        <w:t>101</w:t>
      </w:r>
      <w:r>
        <w:rPr>
          <w:rFonts w:asciiTheme="majorHAnsi" w:hAnsiTheme="majorHAnsi" w:cstheme="majorHAnsi"/>
          <w:sz w:val="24"/>
          <w:szCs w:val="24"/>
        </w:rPr>
        <w:t xml:space="preserve">, 184–191. </w:t>
      </w:r>
      <w:hyperlink r:id="rId12">
        <w:r w:rsidR="004F2756">
          <w:rPr>
            <w:rStyle w:val="Hyperlink"/>
            <w:rFonts w:asciiTheme="majorHAnsi" w:hAnsiTheme="majorHAnsi" w:cstheme="majorHAnsi"/>
            <w:sz w:val="24"/>
            <w:szCs w:val="24"/>
          </w:rPr>
          <w:t>https://doi.org/10.1080/00185868.2021.2002220</w:t>
        </w:r>
      </w:hyperlink>
    </w:p>
    <w:p w14:paraId="19AD7545"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5" w:name="ref-Jor22"/>
      <w:bookmarkEnd w:id="14"/>
      <w:r>
        <w:rPr>
          <w:rFonts w:asciiTheme="majorHAnsi" w:hAnsiTheme="majorHAnsi" w:cstheme="majorHAnsi"/>
          <w:sz w:val="24"/>
          <w:szCs w:val="24"/>
        </w:rPr>
        <w:t xml:space="preserve">Jordan, K. C., Gennaro, J. D. D., Arnim, A. O. von S. A., &amp; Stewart, B. (2022). Global trends in pediatric burn injuries and care capacity from the World Health Organization Global Burn Registry. </w:t>
      </w:r>
      <w:r>
        <w:rPr>
          <w:rFonts w:asciiTheme="majorHAnsi" w:hAnsiTheme="majorHAnsi" w:cstheme="majorHAnsi"/>
          <w:i/>
          <w:iCs/>
          <w:sz w:val="24"/>
          <w:szCs w:val="24"/>
        </w:rPr>
        <w:t>Frontiers in Pediatrics</w:t>
      </w:r>
      <w:r>
        <w:rPr>
          <w:rFonts w:asciiTheme="majorHAnsi" w:hAnsiTheme="majorHAnsi" w:cstheme="majorHAnsi"/>
          <w:sz w:val="24"/>
          <w:szCs w:val="24"/>
        </w:rPr>
        <w:t xml:space="preserve">, </w:t>
      </w:r>
      <w:r>
        <w:rPr>
          <w:rFonts w:asciiTheme="majorHAnsi" w:hAnsiTheme="majorHAnsi" w:cstheme="majorHAnsi"/>
          <w:i/>
          <w:iCs/>
          <w:sz w:val="24"/>
          <w:szCs w:val="24"/>
        </w:rPr>
        <w:t>10</w:t>
      </w:r>
      <w:r>
        <w:rPr>
          <w:rFonts w:asciiTheme="majorHAnsi" w:hAnsiTheme="majorHAnsi" w:cstheme="majorHAnsi"/>
          <w:sz w:val="24"/>
          <w:szCs w:val="24"/>
        </w:rPr>
        <w:t xml:space="preserve">. </w:t>
      </w:r>
      <w:hyperlink r:id="rId13">
        <w:r w:rsidR="004F2756">
          <w:rPr>
            <w:rStyle w:val="Hyperlink"/>
            <w:rFonts w:asciiTheme="majorHAnsi" w:hAnsiTheme="majorHAnsi" w:cstheme="majorHAnsi"/>
            <w:sz w:val="24"/>
            <w:szCs w:val="24"/>
          </w:rPr>
          <w:t>https://doi.org/10.3389/fped.2022.954995</w:t>
        </w:r>
      </w:hyperlink>
    </w:p>
    <w:p w14:paraId="2E7892A9"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6" w:name="ref-Kar22"/>
      <w:bookmarkEnd w:id="15"/>
      <w:r>
        <w:rPr>
          <w:rFonts w:asciiTheme="majorHAnsi" w:hAnsiTheme="majorHAnsi" w:cstheme="majorHAnsi"/>
          <w:sz w:val="24"/>
          <w:szCs w:val="24"/>
        </w:rPr>
        <w:lastRenderedPageBreak/>
        <w:t xml:space="preserve">Karahan, S., Erbaş, A., &amp; Tunçbilek, Z. (2022). Experiences, Difficulties, and Coping Methods of Burn Nurses: an Exploratory-Descriptive Qualitative Study. </w:t>
      </w:r>
      <w:r>
        <w:rPr>
          <w:rFonts w:asciiTheme="majorHAnsi" w:hAnsiTheme="majorHAnsi" w:cstheme="majorHAnsi"/>
          <w:i/>
          <w:iCs/>
          <w:sz w:val="24"/>
          <w:szCs w:val="24"/>
        </w:rPr>
        <w:t>Journal of Burn Care &amp; Research : Official Publication of the American Burn Association</w:t>
      </w:r>
      <w:r>
        <w:rPr>
          <w:rFonts w:asciiTheme="majorHAnsi" w:hAnsiTheme="majorHAnsi" w:cstheme="majorHAnsi"/>
          <w:sz w:val="24"/>
          <w:szCs w:val="24"/>
        </w:rPr>
        <w:t xml:space="preserve">. </w:t>
      </w:r>
      <w:hyperlink r:id="rId14">
        <w:r w:rsidR="004F2756">
          <w:rPr>
            <w:rStyle w:val="Hyperlink"/>
            <w:rFonts w:asciiTheme="majorHAnsi" w:hAnsiTheme="majorHAnsi" w:cstheme="majorHAnsi"/>
            <w:sz w:val="24"/>
            <w:szCs w:val="24"/>
          </w:rPr>
          <w:t>https://doi.org/10.1093/jbcr/irac019</w:t>
        </w:r>
      </w:hyperlink>
    </w:p>
    <w:p w14:paraId="629F38E1"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7" w:name="ref-Nab24"/>
      <w:bookmarkEnd w:id="16"/>
      <w:r>
        <w:rPr>
          <w:rFonts w:asciiTheme="majorHAnsi" w:hAnsiTheme="majorHAnsi" w:cstheme="majorHAnsi"/>
          <w:sz w:val="24"/>
          <w:szCs w:val="24"/>
        </w:rPr>
        <w:t xml:space="preserve">Naber, C. E., &amp; Sheridan, R. L. (2024). Critical Care of the Pediatric Burn Patient. </w:t>
      </w:r>
      <w:r>
        <w:rPr>
          <w:rFonts w:asciiTheme="majorHAnsi" w:hAnsiTheme="majorHAnsi" w:cstheme="majorHAnsi"/>
          <w:i/>
          <w:iCs/>
          <w:sz w:val="24"/>
          <w:szCs w:val="24"/>
        </w:rPr>
        <w:t>Seminars in Plastic Surgery</w:t>
      </w:r>
      <w:r>
        <w:rPr>
          <w:rFonts w:asciiTheme="majorHAnsi" w:hAnsiTheme="majorHAnsi" w:cstheme="majorHAnsi"/>
          <w:sz w:val="24"/>
          <w:szCs w:val="24"/>
        </w:rPr>
        <w:t xml:space="preserve">. </w:t>
      </w:r>
      <w:hyperlink r:id="rId15">
        <w:r w:rsidR="004F2756">
          <w:rPr>
            <w:rStyle w:val="Hyperlink"/>
            <w:rFonts w:asciiTheme="majorHAnsi" w:hAnsiTheme="majorHAnsi" w:cstheme="majorHAnsi"/>
            <w:sz w:val="24"/>
            <w:szCs w:val="24"/>
          </w:rPr>
          <w:t>https://doi.org/10.1055/s-0044-1782647</w:t>
        </w:r>
      </w:hyperlink>
    </w:p>
    <w:p w14:paraId="115607A0"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18" w:name="ref-Nga25"/>
      <w:bookmarkEnd w:id="17"/>
      <w:r>
        <w:rPr>
          <w:rFonts w:asciiTheme="majorHAnsi" w:hAnsiTheme="majorHAnsi" w:cstheme="majorHAnsi"/>
          <w:sz w:val="24"/>
          <w:szCs w:val="24"/>
        </w:rPr>
        <w:t xml:space="preserve">Ng’ambi, G., Kumwenda, S., &amp; Mwenitete, D. (2025). Burn fluid resuscitation in a resource-limited setting: knowledge, adherence, and challenges among healthcare workers at a tertiary hospital in Malawi. </w:t>
      </w:r>
      <w:r>
        <w:rPr>
          <w:rFonts w:asciiTheme="majorHAnsi" w:hAnsiTheme="majorHAnsi" w:cstheme="majorHAnsi"/>
          <w:i/>
          <w:iCs/>
          <w:sz w:val="24"/>
          <w:szCs w:val="24"/>
        </w:rPr>
        <w:t>International Journal of Africa Nursing Sciences</w:t>
      </w:r>
      <w:r>
        <w:rPr>
          <w:rFonts w:asciiTheme="majorHAnsi" w:hAnsiTheme="majorHAnsi" w:cstheme="majorHAnsi"/>
          <w:sz w:val="24"/>
          <w:szCs w:val="24"/>
        </w:rPr>
        <w:t xml:space="preserve">. </w:t>
      </w:r>
      <w:hyperlink r:id="rId16">
        <w:r w:rsidR="004F2756">
          <w:rPr>
            <w:rStyle w:val="Hyperlink"/>
            <w:rFonts w:asciiTheme="majorHAnsi" w:hAnsiTheme="majorHAnsi" w:cstheme="majorHAnsi"/>
            <w:sz w:val="24"/>
            <w:szCs w:val="24"/>
          </w:rPr>
          <w:t>https://doi.org/10.1016/j.ijans.2025.100952</w:t>
        </w:r>
      </w:hyperlink>
    </w:p>
    <w:p w14:paraId="2C6F5094" w14:textId="77777777" w:rsidR="004F2756" w:rsidRPr="00D2541A" w:rsidRDefault="00000000" w:rsidP="00D2541A">
      <w:pPr>
        <w:pStyle w:val="Bibliography"/>
        <w:spacing w:line="480" w:lineRule="auto"/>
        <w:ind w:left="720" w:hanging="720"/>
        <w:rPr>
          <w:rFonts w:asciiTheme="majorHAnsi" w:hAnsiTheme="majorHAnsi" w:cstheme="majorHAnsi"/>
          <w:sz w:val="24"/>
          <w:szCs w:val="24"/>
          <w:lang w:val="it-IT"/>
        </w:rPr>
      </w:pPr>
      <w:bookmarkStart w:id="19" w:name="ref-Pal24"/>
      <w:bookmarkEnd w:id="18"/>
      <w:r>
        <w:rPr>
          <w:rFonts w:asciiTheme="majorHAnsi" w:hAnsiTheme="majorHAnsi" w:cstheme="majorHAnsi"/>
          <w:sz w:val="24"/>
          <w:szCs w:val="24"/>
        </w:rPr>
        <w:t xml:space="preserve">Palmieri, T. L. (2024). Initial Pediatric Burn Management: A Practical Guide. </w:t>
      </w:r>
      <w:r>
        <w:rPr>
          <w:rFonts w:asciiTheme="majorHAnsi" w:hAnsiTheme="majorHAnsi" w:cstheme="majorHAnsi"/>
          <w:i/>
          <w:iCs/>
          <w:sz w:val="24"/>
          <w:szCs w:val="24"/>
          <w:lang w:val="it-IT"/>
        </w:rPr>
        <w:t>Seminars in Plastic Surgery</w:t>
      </w:r>
      <w:r>
        <w:rPr>
          <w:rFonts w:asciiTheme="majorHAnsi" w:hAnsiTheme="majorHAnsi" w:cstheme="majorHAnsi"/>
          <w:sz w:val="24"/>
          <w:szCs w:val="24"/>
          <w:lang w:val="it-IT"/>
        </w:rPr>
        <w:t xml:space="preserve">. </w:t>
      </w:r>
      <w:hyperlink r:id="rId17">
        <w:r w:rsidR="004F2756">
          <w:rPr>
            <w:rStyle w:val="Hyperlink"/>
            <w:rFonts w:asciiTheme="majorHAnsi" w:hAnsiTheme="majorHAnsi" w:cstheme="majorHAnsi"/>
            <w:sz w:val="24"/>
            <w:szCs w:val="24"/>
            <w:lang w:val="it-IT"/>
          </w:rPr>
          <w:t>https://doi.org/10.1055/s-0044-1782645</w:t>
        </w:r>
      </w:hyperlink>
    </w:p>
    <w:p w14:paraId="4573143C"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0" w:name="ref-Pel25"/>
      <w:bookmarkEnd w:id="19"/>
      <w:r>
        <w:rPr>
          <w:rFonts w:asciiTheme="majorHAnsi" w:hAnsiTheme="majorHAnsi" w:cstheme="majorHAnsi"/>
          <w:sz w:val="24"/>
          <w:szCs w:val="24"/>
          <w:lang w:val="it-IT"/>
        </w:rPr>
        <w:t xml:space="preserve">Pelizzo, G., Calcaterra, V., Canonica, C. P. M., Magenes, V. C., Marinaro, M., Durante, E., Cordaro, E., &amp; Zuccotti, G. (2025). </w:t>
      </w:r>
      <w:r>
        <w:rPr>
          <w:rFonts w:asciiTheme="majorHAnsi" w:hAnsiTheme="majorHAnsi" w:cstheme="majorHAnsi"/>
          <w:sz w:val="24"/>
          <w:szCs w:val="24"/>
        </w:rPr>
        <w:t xml:space="preserve">Burns in Early Childhood: Age-Specific Causes, Risks, Management, and Implications—A Narrative Review. </w:t>
      </w:r>
      <w:r>
        <w:rPr>
          <w:rFonts w:asciiTheme="majorHAnsi" w:hAnsiTheme="majorHAnsi" w:cstheme="majorHAnsi"/>
          <w:i/>
          <w:iCs/>
          <w:sz w:val="24"/>
          <w:szCs w:val="24"/>
        </w:rPr>
        <w:t>Children</w:t>
      </w:r>
      <w:r>
        <w:rPr>
          <w:rFonts w:asciiTheme="majorHAnsi" w:hAnsiTheme="majorHAnsi" w:cstheme="majorHAnsi"/>
          <w:sz w:val="24"/>
          <w:szCs w:val="24"/>
        </w:rPr>
        <w:t xml:space="preserve">, </w:t>
      </w:r>
      <w:r>
        <w:rPr>
          <w:rFonts w:asciiTheme="majorHAnsi" w:hAnsiTheme="majorHAnsi" w:cstheme="majorHAnsi"/>
          <w:i/>
          <w:iCs/>
          <w:sz w:val="24"/>
          <w:szCs w:val="24"/>
        </w:rPr>
        <w:t>12</w:t>
      </w:r>
      <w:r>
        <w:rPr>
          <w:rFonts w:asciiTheme="majorHAnsi" w:hAnsiTheme="majorHAnsi" w:cstheme="majorHAnsi"/>
          <w:sz w:val="24"/>
          <w:szCs w:val="24"/>
        </w:rPr>
        <w:t xml:space="preserve">. </w:t>
      </w:r>
      <w:hyperlink r:id="rId18">
        <w:r w:rsidR="004F2756">
          <w:rPr>
            <w:rStyle w:val="Hyperlink"/>
            <w:rFonts w:asciiTheme="majorHAnsi" w:hAnsiTheme="majorHAnsi" w:cstheme="majorHAnsi"/>
            <w:sz w:val="24"/>
            <w:szCs w:val="24"/>
          </w:rPr>
          <w:t>https://doi.org/10.3390/children12111424</w:t>
        </w:r>
      </w:hyperlink>
    </w:p>
    <w:p w14:paraId="6ADC0CCC"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1" w:name="ref-Pur21"/>
      <w:bookmarkEnd w:id="20"/>
      <w:r>
        <w:rPr>
          <w:rFonts w:asciiTheme="majorHAnsi" w:hAnsiTheme="majorHAnsi" w:cstheme="majorHAnsi"/>
          <w:sz w:val="24"/>
          <w:szCs w:val="24"/>
        </w:rPr>
        <w:t xml:space="preserve">Purcell, L., Banda, W., Akinkuotu, A. C., Phillips, M., Hayes-Jordan, A., &amp; Charles, A. (2021). Characteristics and Predictors of Mortality In-Hospital Mortality following Burn Injury in Infants in a Resource-Limited Setting. </w:t>
      </w:r>
      <w:r>
        <w:rPr>
          <w:rFonts w:asciiTheme="majorHAnsi" w:hAnsiTheme="majorHAnsi" w:cstheme="majorHAnsi"/>
          <w:i/>
          <w:iCs/>
          <w:sz w:val="24"/>
          <w:szCs w:val="24"/>
        </w:rPr>
        <w:t>Burns : Journal of the International Society for Burn Injuries</w:t>
      </w:r>
      <w:r>
        <w:rPr>
          <w:rFonts w:asciiTheme="majorHAnsi" w:hAnsiTheme="majorHAnsi" w:cstheme="majorHAnsi"/>
          <w:sz w:val="24"/>
          <w:szCs w:val="24"/>
        </w:rPr>
        <w:t xml:space="preserve">, </w:t>
      </w:r>
      <w:r>
        <w:rPr>
          <w:rFonts w:asciiTheme="majorHAnsi" w:hAnsiTheme="majorHAnsi" w:cstheme="majorHAnsi"/>
          <w:i/>
          <w:iCs/>
          <w:sz w:val="24"/>
          <w:szCs w:val="24"/>
        </w:rPr>
        <w:t>48</w:t>
      </w:r>
      <w:r>
        <w:rPr>
          <w:rFonts w:asciiTheme="majorHAnsi" w:hAnsiTheme="majorHAnsi" w:cstheme="majorHAnsi"/>
          <w:sz w:val="24"/>
          <w:szCs w:val="24"/>
        </w:rPr>
        <w:t xml:space="preserve">, 602–607. </w:t>
      </w:r>
      <w:hyperlink r:id="rId19">
        <w:r w:rsidR="004F2756">
          <w:rPr>
            <w:rStyle w:val="Hyperlink"/>
            <w:rFonts w:asciiTheme="majorHAnsi" w:hAnsiTheme="majorHAnsi" w:cstheme="majorHAnsi"/>
            <w:sz w:val="24"/>
            <w:szCs w:val="24"/>
          </w:rPr>
          <w:t>https://doi.org/10.1016/j.burns.2021.07.004</w:t>
        </w:r>
      </w:hyperlink>
    </w:p>
    <w:p w14:paraId="16E3E77F"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2" w:name="ref-Put21"/>
      <w:bookmarkEnd w:id="21"/>
      <w:r>
        <w:rPr>
          <w:rFonts w:asciiTheme="majorHAnsi" w:hAnsiTheme="majorHAnsi" w:cstheme="majorHAnsi"/>
          <w:sz w:val="24"/>
          <w:szCs w:val="24"/>
          <w:lang w:val="it-IT"/>
        </w:rPr>
        <w:lastRenderedPageBreak/>
        <w:t xml:space="preserve">Puthumana, J., Ngaage, L., Borrelli, M., Rada, E., Caffrey, J., &amp; Rasko, Y. M. (2021). </w:t>
      </w:r>
      <w:r>
        <w:rPr>
          <w:rFonts w:asciiTheme="majorHAnsi" w:hAnsiTheme="majorHAnsi" w:cstheme="majorHAnsi"/>
          <w:sz w:val="24"/>
          <w:szCs w:val="24"/>
        </w:rPr>
        <w:t xml:space="preserve">Risk factors for cooking-related burn injuries in children, WHO Global Burn Registry. </w:t>
      </w:r>
      <w:r>
        <w:rPr>
          <w:rFonts w:asciiTheme="majorHAnsi" w:hAnsiTheme="majorHAnsi" w:cstheme="majorHAnsi"/>
          <w:i/>
          <w:iCs/>
          <w:sz w:val="24"/>
          <w:szCs w:val="24"/>
        </w:rPr>
        <w:t>Bulletin of the World Health Organization</w:t>
      </w:r>
      <w:r>
        <w:rPr>
          <w:rFonts w:asciiTheme="majorHAnsi" w:hAnsiTheme="majorHAnsi" w:cstheme="majorHAnsi"/>
          <w:sz w:val="24"/>
          <w:szCs w:val="24"/>
        </w:rPr>
        <w:t xml:space="preserve">, </w:t>
      </w:r>
      <w:r>
        <w:rPr>
          <w:rFonts w:asciiTheme="majorHAnsi" w:hAnsiTheme="majorHAnsi" w:cstheme="majorHAnsi"/>
          <w:i/>
          <w:iCs/>
          <w:sz w:val="24"/>
          <w:szCs w:val="24"/>
        </w:rPr>
        <w:t>99</w:t>
      </w:r>
      <w:r>
        <w:rPr>
          <w:rFonts w:asciiTheme="majorHAnsi" w:hAnsiTheme="majorHAnsi" w:cstheme="majorHAnsi"/>
          <w:sz w:val="24"/>
          <w:szCs w:val="24"/>
        </w:rPr>
        <w:t xml:space="preserve">, 439–445. </w:t>
      </w:r>
      <w:hyperlink r:id="rId20">
        <w:r w:rsidR="004F2756">
          <w:rPr>
            <w:rStyle w:val="Hyperlink"/>
            <w:rFonts w:asciiTheme="majorHAnsi" w:hAnsiTheme="majorHAnsi" w:cstheme="majorHAnsi"/>
            <w:sz w:val="24"/>
            <w:szCs w:val="24"/>
          </w:rPr>
          <w:t>https://doi.org/10.2471/BLT.20.279786</w:t>
        </w:r>
      </w:hyperlink>
    </w:p>
    <w:p w14:paraId="4034B081"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3" w:name="ref-Qui22"/>
      <w:bookmarkEnd w:id="22"/>
      <w:r>
        <w:rPr>
          <w:rFonts w:asciiTheme="majorHAnsi" w:hAnsiTheme="majorHAnsi" w:cstheme="majorHAnsi"/>
          <w:sz w:val="24"/>
          <w:szCs w:val="24"/>
          <w:lang w:val="it-IT"/>
        </w:rPr>
        <w:t xml:space="preserve">Quinn, L., Ahmed, T., Falk, H., Altamirano, A. M., Muganza, A., Nakarmi, K., Nawar, A. A., Peck, M., Rai, S. M., Sartori, J., Vana, L. P., Wabwire, B., Moiemen, N., &amp; Lilford, R. (2022). </w:t>
      </w:r>
      <w:r>
        <w:rPr>
          <w:rFonts w:asciiTheme="majorHAnsi" w:hAnsiTheme="majorHAnsi" w:cstheme="majorHAnsi"/>
          <w:sz w:val="24"/>
          <w:szCs w:val="24"/>
        </w:rPr>
        <w:t xml:space="preserve">Burn Admissions Across Low- and Middle-income Countries: A Repeated Cross-sectional Survey. </w:t>
      </w:r>
      <w:r>
        <w:rPr>
          <w:rFonts w:asciiTheme="majorHAnsi" w:hAnsiTheme="majorHAnsi" w:cstheme="majorHAnsi"/>
          <w:i/>
          <w:iCs/>
          <w:sz w:val="24"/>
          <w:szCs w:val="24"/>
        </w:rPr>
        <w:t>Journal of Burn Care &amp; Research: Official Publication of the American Burn Association</w:t>
      </w:r>
      <w:r>
        <w:rPr>
          <w:rFonts w:asciiTheme="majorHAnsi" w:hAnsiTheme="majorHAnsi" w:cstheme="majorHAnsi"/>
          <w:sz w:val="24"/>
          <w:szCs w:val="24"/>
        </w:rPr>
        <w:t xml:space="preserve">, </w:t>
      </w:r>
      <w:r>
        <w:rPr>
          <w:rFonts w:asciiTheme="majorHAnsi" w:hAnsiTheme="majorHAnsi" w:cstheme="majorHAnsi"/>
          <w:i/>
          <w:iCs/>
          <w:sz w:val="24"/>
          <w:szCs w:val="24"/>
        </w:rPr>
        <w:t>44</w:t>
      </w:r>
      <w:r>
        <w:rPr>
          <w:rFonts w:asciiTheme="majorHAnsi" w:hAnsiTheme="majorHAnsi" w:cstheme="majorHAnsi"/>
          <w:sz w:val="24"/>
          <w:szCs w:val="24"/>
        </w:rPr>
        <w:t xml:space="preserve">, 320–328. </w:t>
      </w:r>
      <w:hyperlink r:id="rId21">
        <w:r w:rsidR="004F2756">
          <w:rPr>
            <w:rStyle w:val="Hyperlink"/>
            <w:rFonts w:asciiTheme="majorHAnsi" w:hAnsiTheme="majorHAnsi" w:cstheme="majorHAnsi"/>
            <w:sz w:val="24"/>
            <w:szCs w:val="24"/>
          </w:rPr>
          <w:t>https://doi.org/10.1093/jbcr/irac096</w:t>
        </w:r>
      </w:hyperlink>
    </w:p>
    <w:p w14:paraId="406415A3"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4" w:name="ref-Rud24"/>
      <w:bookmarkEnd w:id="23"/>
      <w:r>
        <w:rPr>
          <w:rFonts w:asciiTheme="majorHAnsi" w:hAnsiTheme="majorHAnsi" w:cstheme="majorHAnsi"/>
          <w:sz w:val="24"/>
          <w:szCs w:val="24"/>
        </w:rPr>
        <w:t xml:space="preserve">Rudkin, L., Williams, L., &amp; Williams, A. C. (2024). Investigation into nurses’ emotion regulation while causing pain to adult patients during burns dressing changes: a qualitative study. </w:t>
      </w:r>
      <w:r>
        <w:rPr>
          <w:rFonts w:asciiTheme="majorHAnsi" w:hAnsiTheme="majorHAnsi" w:cstheme="majorHAnsi"/>
          <w:i/>
          <w:iCs/>
          <w:sz w:val="24"/>
          <w:szCs w:val="24"/>
        </w:rPr>
        <w:t>Burns : Journal of the International Society for Burn Injuries</w:t>
      </w:r>
      <w:r>
        <w:rPr>
          <w:rFonts w:asciiTheme="majorHAnsi" w:hAnsiTheme="majorHAnsi" w:cstheme="majorHAnsi"/>
          <w:sz w:val="24"/>
          <w:szCs w:val="24"/>
        </w:rPr>
        <w:t xml:space="preserve">, </w:t>
      </w:r>
      <w:r>
        <w:rPr>
          <w:rFonts w:asciiTheme="majorHAnsi" w:hAnsiTheme="majorHAnsi" w:cstheme="majorHAnsi"/>
          <w:i/>
          <w:iCs/>
          <w:sz w:val="24"/>
          <w:szCs w:val="24"/>
        </w:rPr>
        <w:t>51 1</w:t>
      </w:r>
      <w:r>
        <w:rPr>
          <w:rFonts w:asciiTheme="majorHAnsi" w:hAnsiTheme="majorHAnsi" w:cstheme="majorHAnsi"/>
          <w:sz w:val="24"/>
          <w:szCs w:val="24"/>
        </w:rPr>
        <w:t xml:space="preserve">, 107315. </w:t>
      </w:r>
      <w:hyperlink r:id="rId22">
        <w:r w:rsidR="004F2756">
          <w:rPr>
            <w:rStyle w:val="Hyperlink"/>
            <w:rFonts w:asciiTheme="majorHAnsi" w:hAnsiTheme="majorHAnsi" w:cstheme="majorHAnsi"/>
            <w:sz w:val="24"/>
            <w:szCs w:val="24"/>
          </w:rPr>
          <w:t>https://doi.org/10.1016/j.burns.2024.107315</w:t>
        </w:r>
      </w:hyperlink>
    </w:p>
    <w:p w14:paraId="5A9EE0B6"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5" w:name="ref-Sha24"/>
      <w:bookmarkEnd w:id="24"/>
      <w:r>
        <w:rPr>
          <w:rFonts w:asciiTheme="majorHAnsi" w:hAnsiTheme="majorHAnsi" w:cstheme="majorHAnsi"/>
          <w:sz w:val="24"/>
          <w:szCs w:val="24"/>
        </w:rPr>
        <w:t xml:space="preserve">Shah, S., Gondwe, J., An, S. J., Hester, T. E., &amp; Charles, A. G. (2024). The effect of interhospital transfer on pediatric burn injury mortality in a resource-limited setting. </w:t>
      </w:r>
      <w:r>
        <w:rPr>
          <w:rFonts w:asciiTheme="majorHAnsi" w:hAnsiTheme="majorHAnsi" w:cstheme="majorHAnsi"/>
          <w:i/>
          <w:iCs/>
          <w:sz w:val="24"/>
          <w:szCs w:val="24"/>
        </w:rPr>
        <w:t>World Journal of Surgery</w:t>
      </w:r>
      <w:r>
        <w:rPr>
          <w:rFonts w:asciiTheme="majorHAnsi" w:hAnsiTheme="majorHAnsi" w:cstheme="majorHAnsi"/>
          <w:sz w:val="24"/>
          <w:szCs w:val="24"/>
        </w:rPr>
        <w:t xml:space="preserve">. </w:t>
      </w:r>
      <w:hyperlink r:id="rId23">
        <w:r w:rsidR="004F2756">
          <w:rPr>
            <w:rStyle w:val="Hyperlink"/>
            <w:rFonts w:asciiTheme="majorHAnsi" w:hAnsiTheme="majorHAnsi" w:cstheme="majorHAnsi"/>
            <w:sz w:val="24"/>
            <w:szCs w:val="24"/>
          </w:rPr>
          <w:t>https://doi.org/10.1002/wjs.12411</w:t>
        </w:r>
      </w:hyperlink>
    </w:p>
    <w:p w14:paraId="1C1F7F6F"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6" w:name="ref-Tas26"/>
      <w:bookmarkEnd w:id="25"/>
      <w:r>
        <w:rPr>
          <w:rFonts w:asciiTheme="majorHAnsi" w:hAnsiTheme="majorHAnsi" w:cstheme="majorHAnsi"/>
          <w:sz w:val="24"/>
          <w:szCs w:val="24"/>
        </w:rPr>
        <w:t xml:space="preserve">Taşdemir, D., &amp; Taşdemir, H. I. (2026). Pediatric Burn Management: A Qualitative Study on Nursing Perspectives and Professional Needs. </w:t>
      </w:r>
      <w:r>
        <w:rPr>
          <w:rFonts w:asciiTheme="majorHAnsi" w:hAnsiTheme="majorHAnsi" w:cstheme="majorHAnsi"/>
          <w:i/>
          <w:iCs/>
          <w:sz w:val="24"/>
          <w:szCs w:val="24"/>
        </w:rPr>
        <w:t>SDÜ Tıp Fakültesi Dergisi</w:t>
      </w:r>
      <w:r>
        <w:rPr>
          <w:rFonts w:asciiTheme="majorHAnsi" w:hAnsiTheme="majorHAnsi" w:cstheme="majorHAnsi"/>
          <w:sz w:val="24"/>
          <w:szCs w:val="24"/>
        </w:rPr>
        <w:t xml:space="preserve">. </w:t>
      </w:r>
      <w:hyperlink r:id="rId24">
        <w:r w:rsidR="004F2756">
          <w:rPr>
            <w:rStyle w:val="Hyperlink"/>
            <w:rFonts w:asciiTheme="majorHAnsi" w:hAnsiTheme="majorHAnsi" w:cstheme="majorHAnsi"/>
            <w:sz w:val="24"/>
            <w:szCs w:val="24"/>
          </w:rPr>
          <w:t>https://doi.org/10.17343/sdutfd.1707564</w:t>
        </w:r>
      </w:hyperlink>
    </w:p>
    <w:p w14:paraId="7F688C94"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7" w:name="ref-Vla25b"/>
      <w:bookmarkEnd w:id="26"/>
      <w:r>
        <w:rPr>
          <w:rFonts w:asciiTheme="majorHAnsi" w:hAnsiTheme="majorHAnsi" w:cstheme="majorHAnsi"/>
          <w:sz w:val="24"/>
          <w:szCs w:val="24"/>
        </w:rPr>
        <w:t xml:space="preserve">Vlasic, K., Mwakyembe, T., Fleming, I., Lewis, G., Jayaraman, S., Staton, C., Watt, M. H., Mmbaga, B., &amp; Keating, E. M. (2025). The time to care is now: a multidisciplinary call to action for addressing paediatric burn injuries globally. </w:t>
      </w:r>
      <w:r>
        <w:rPr>
          <w:rFonts w:asciiTheme="majorHAnsi" w:hAnsiTheme="majorHAnsi" w:cstheme="majorHAnsi"/>
          <w:i/>
          <w:iCs/>
          <w:sz w:val="24"/>
          <w:szCs w:val="24"/>
        </w:rPr>
        <w:t>International Health</w:t>
      </w:r>
      <w:r>
        <w:rPr>
          <w:rFonts w:asciiTheme="majorHAnsi" w:hAnsiTheme="majorHAnsi" w:cstheme="majorHAnsi"/>
          <w:sz w:val="24"/>
          <w:szCs w:val="24"/>
        </w:rPr>
        <w:t xml:space="preserve">, </w:t>
      </w:r>
      <w:r>
        <w:rPr>
          <w:rFonts w:asciiTheme="majorHAnsi" w:hAnsiTheme="majorHAnsi" w:cstheme="majorHAnsi"/>
          <w:i/>
          <w:iCs/>
          <w:sz w:val="24"/>
          <w:szCs w:val="24"/>
        </w:rPr>
        <w:t>17</w:t>
      </w:r>
      <w:r>
        <w:rPr>
          <w:rFonts w:asciiTheme="majorHAnsi" w:hAnsiTheme="majorHAnsi" w:cstheme="majorHAnsi"/>
          <w:sz w:val="24"/>
          <w:szCs w:val="24"/>
        </w:rPr>
        <w:t xml:space="preserve">, 609–611. </w:t>
      </w:r>
      <w:hyperlink r:id="rId25">
        <w:r w:rsidR="004F2756">
          <w:rPr>
            <w:rStyle w:val="Hyperlink"/>
            <w:rFonts w:asciiTheme="majorHAnsi" w:hAnsiTheme="majorHAnsi" w:cstheme="majorHAnsi"/>
            <w:sz w:val="24"/>
            <w:szCs w:val="24"/>
          </w:rPr>
          <w:t>https://doi.org/10.1093/inthealth/ihaf035</w:t>
        </w:r>
      </w:hyperlink>
    </w:p>
    <w:p w14:paraId="68E60000" w14:textId="77777777" w:rsidR="004F2756" w:rsidRPr="00D2541A" w:rsidRDefault="00000000" w:rsidP="00D2541A">
      <w:pPr>
        <w:pStyle w:val="Bibliography"/>
        <w:spacing w:line="480" w:lineRule="auto"/>
        <w:ind w:left="720" w:hanging="720"/>
        <w:rPr>
          <w:rFonts w:asciiTheme="majorHAnsi" w:hAnsiTheme="majorHAnsi" w:cstheme="majorHAnsi"/>
          <w:sz w:val="24"/>
          <w:szCs w:val="24"/>
          <w:lang w:val="it-IT"/>
        </w:rPr>
      </w:pPr>
      <w:bookmarkStart w:id="28" w:name="ref-Vla25"/>
      <w:bookmarkEnd w:id="27"/>
      <w:r>
        <w:rPr>
          <w:rFonts w:asciiTheme="majorHAnsi" w:hAnsiTheme="majorHAnsi" w:cstheme="majorHAnsi"/>
          <w:sz w:val="24"/>
          <w:szCs w:val="24"/>
        </w:rPr>
        <w:lastRenderedPageBreak/>
        <w:t xml:space="preserve">Vlasic, K., Mwakyembe, T., Sakita, F., Fleming, I., Lewis, G., Nkini, G., Mmary, N., Marandu, D., Fino, N., Holiday, J., Watt, M. H., Staton, C., Keating, E. M., &amp; Mmbaga, B. T. (2025). A Characterization of Pediatric Burn Injury Patients Presenting to a Zonal Referral Hospital in Northern Tanzania. </w:t>
      </w:r>
      <w:r>
        <w:rPr>
          <w:rFonts w:asciiTheme="majorHAnsi" w:hAnsiTheme="majorHAnsi" w:cstheme="majorHAnsi"/>
          <w:i/>
          <w:iCs/>
          <w:sz w:val="24"/>
          <w:szCs w:val="24"/>
        </w:rPr>
        <w:t>Journal of Burn Care &amp; Research: Official Publication of the American Burn Association</w:t>
      </w:r>
      <w:r>
        <w:rPr>
          <w:rFonts w:asciiTheme="majorHAnsi" w:hAnsiTheme="majorHAnsi" w:cstheme="majorHAnsi"/>
          <w:sz w:val="24"/>
          <w:szCs w:val="24"/>
        </w:rPr>
        <w:t xml:space="preserve">, </w:t>
      </w:r>
      <w:r>
        <w:rPr>
          <w:rFonts w:asciiTheme="majorHAnsi" w:hAnsiTheme="majorHAnsi" w:cstheme="majorHAnsi"/>
          <w:i/>
          <w:iCs/>
          <w:sz w:val="24"/>
          <w:szCs w:val="24"/>
        </w:rPr>
        <w:t>47</w:t>
      </w:r>
      <w:r>
        <w:rPr>
          <w:rFonts w:asciiTheme="majorHAnsi" w:hAnsiTheme="majorHAnsi" w:cstheme="majorHAnsi"/>
          <w:sz w:val="24"/>
          <w:szCs w:val="24"/>
        </w:rPr>
        <w:t xml:space="preserve">, 390–402. </w:t>
      </w:r>
      <w:hyperlink r:id="rId26">
        <w:r w:rsidR="004F2756">
          <w:rPr>
            <w:rStyle w:val="Hyperlink"/>
            <w:rFonts w:asciiTheme="majorHAnsi" w:hAnsiTheme="majorHAnsi" w:cstheme="majorHAnsi"/>
            <w:sz w:val="24"/>
            <w:szCs w:val="24"/>
            <w:lang w:val="it-IT"/>
          </w:rPr>
          <w:t>https://doi.org/10.1093/jbcr/iraf184</w:t>
        </w:r>
      </w:hyperlink>
    </w:p>
    <w:p w14:paraId="5A9AF21D"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29" w:name="ref-Won25"/>
      <w:bookmarkEnd w:id="28"/>
      <w:r>
        <w:rPr>
          <w:rFonts w:asciiTheme="majorHAnsi" w:hAnsiTheme="majorHAnsi" w:cstheme="majorHAnsi"/>
          <w:sz w:val="24"/>
          <w:szCs w:val="24"/>
          <w:lang w:val="it-IT"/>
        </w:rPr>
        <w:t xml:space="preserve">Wondifraw, E. B., Getaneh, F. B., Amare, M., Biset, G., Tefera, B., Zeleke, M., Jimma, M., &amp; Chanie, E. (2025). </w:t>
      </w:r>
      <w:r>
        <w:rPr>
          <w:rFonts w:asciiTheme="majorHAnsi" w:hAnsiTheme="majorHAnsi" w:cstheme="majorHAnsi"/>
          <w:sz w:val="24"/>
          <w:szCs w:val="24"/>
        </w:rPr>
        <w:t xml:space="preserve">Treatment outcomes of burn injury and its associated factor among children in Sub-Saharan Africa: a systematic review and meta-analysis. </w:t>
      </w:r>
      <w:r>
        <w:rPr>
          <w:rFonts w:asciiTheme="majorHAnsi" w:hAnsiTheme="majorHAnsi" w:cstheme="majorHAnsi"/>
          <w:i/>
          <w:iCs/>
          <w:sz w:val="24"/>
          <w:szCs w:val="24"/>
        </w:rPr>
        <w:t>BMC Pediatrics</w:t>
      </w:r>
      <w:r>
        <w:rPr>
          <w:rFonts w:asciiTheme="majorHAnsi" w:hAnsiTheme="majorHAnsi" w:cstheme="majorHAnsi"/>
          <w:sz w:val="24"/>
          <w:szCs w:val="24"/>
        </w:rPr>
        <w:t xml:space="preserve">, </w:t>
      </w:r>
      <w:r>
        <w:rPr>
          <w:rFonts w:asciiTheme="majorHAnsi" w:hAnsiTheme="majorHAnsi" w:cstheme="majorHAnsi"/>
          <w:i/>
          <w:iCs/>
          <w:sz w:val="24"/>
          <w:szCs w:val="24"/>
        </w:rPr>
        <w:t>25</w:t>
      </w:r>
      <w:r>
        <w:rPr>
          <w:rFonts w:asciiTheme="majorHAnsi" w:hAnsiTheme="majorHAnsi" w:cstheme="majorHAnsi"/>
          <w:sz w:val="24"/>
          <w:szCs w:val="24"/>
        </w:rPr>
        <w:t xml:space="preserve">. </w:t>
      </w:r>
      <w:hyperlink r:id="rId27">
        <w:r w:rsidR="004F2756">
          <w:rPr>
            <w:rStyle w:val="Hyperlink"/>
            <w:rFonts w:asciiTheme="majorHAnsi" w:hAnsiTheme="majorHAnsi" w:cstheme="majorHAnsi"/>
            <w:sz w:val="24"/>
            <w:szCs w:val="24"/>
          </w:rPr>
          <w:t>https://doi.org/10.1186/s12887-025-05859-3</w:t>
        </w:r>
      </w:hyperlink>
    </w:p>
    <w:p w14:paraId="054734E1" w14:textId="77777777" w:rsidR="004F2756" w:rsidRPr="00D2541A" w:rsidRDefault="00000000" w:rsidP="00D2541A">
      <w:pPr>
        <w:pStyle w:val="Bibliography"/>
        <w:spacing w:line="480" w:lineRule="auto"/>
        <w:ind w:left="720" w:hanging="720"/>
        <w:rPr>
          <w:rFonts w:asciiTheme="majorHAnsi" w:hAnsiTheme="majorHAnsi" w:cstheme="majorHAnsi"/>
          <w:sz w:val="24"/>
          <w:szCs w:val="24"/>
        </w:rPr>
      </w:pPr>
      <w:bookmarkStart w:id="30" w:name="ref-Yel24"/>
      <w:bookmarkEnd w:id="29"/>
      <w:r>
        <w:rPr>
          <w:rFonts w:asciiTheme="majorHAnsi" w:hAnsiTheme="majorHAnsi" w:cstheme="majorHAnsi"/>
          <w:sz w:val="24"/>
          <w:szCs w:val="24"/>
        </w:rPr>
        <w:t xml:space="preserve">Yelvington, M. L., Corson, T., Hu, J., Wood, R. E., &amp; Reynolds, S. (2024). The Costs of Caring: Quantifying Compassion Fatigue and Compassion Satisfaction in Burn Therapists. </w:t>
      </w:r>
      <w:r>
        <w:rPr>
          <w:rFonts w:asciiTheme="majorHAnsi" w:hAnsiTheme="majorHAnsi" w:cstheme="majorHAnsi"/>
          <w:i/>
          <w:iCs/>
          <w:sz w:val="24"/>
          <w:szCs w:val="24"/>
        </w:rPr>
        <w:t>Journal of Burn Care &amp; Research : Official Publication of the American Burn Association</w:t>
      </w:r>
      <w:r>
        <w:rPr>
          <w:rFonts w:asciiTheme="majorHAnsi" w:hAnsiTheme="majorHAnsi" w:cstheme="majorHAnsi"/>
          <w:sz w:val="24"/>
          <w:szCs w:val="24"/>
        </w:rPr>
        <w:t xml:space="preserve">. </w:t>
      </w:r>
      <w:hyperlink r:id="rId28">
        <w:r w:rsidR="004F2756">
          <w:rPr>
            <w:rStyle w:val="Hyperlink"/>
            <w:rFonts w:asciiTheme="majorHAnsi" w:hAnsiTheme="majorHAnsi" w:cstheme="majorHAnsi"/>
            <w:sz w:val="24"/>
            <w:szCs w:val="24"/>
          </w:rPr>
          <w:t>https://doi.org/10.1093/jbcr/irae037</w:t>
        </w:r>
      </w:hyperlink>
      <w:bookmarkEnd w:id="10"/>
      <w:bookmarkEnd w:id="30"/>
    </w:p>
    <w:sectPr w:rsidR="004F2756" w:rsidRPr="00D2541A">
      <w:footnotePr>
        <w:numRestart w:val="eachSect"/>
      </w:footnotePr>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7F2B0" w14:textId="77777777" w:rsidR="00C656B0" w:rsidRDefault="00C656B0">
      <w:pPr>
        <w:spacing w:after="0"/>
      </w:pPr>
      <w:r>
        <w:separator/>
      </w:r>
    </w:p>
  </w:endnote>
  <w:endnote w:type="continuationSeparator" w:id="0">
    <w:p w14:paraId="2C143AC8" w14:textId="77777777" w:rsidR="00C656B0" w:rsidRDefault="00C656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0D7D" w14:textId="77777777" w:rsidR="00C656B0" w:rsidRDefault="00C656B0">
      <w:pPr>
        <w:spacing w:after="0"/>
      </w:pPr>
      <w:r>
        <w:separator/>
      </w:r>
    </w:p>
  </w:footnote>
  <w:footnote w:type="continuationSeparator" w:id="0">
    <w:p w14:paraId="01740A9F" w14:textId="77777777" w:rsidR="00C656B0" w:rsidRDefault="00C656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62C2CC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75075E02"/>
    <w:multiLevelType w:val="multilevel"/>
    <w:tmpl w:val="A09051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30823698">
    <w:abstractNumId w:val="0"/>
  </w:num>
  <w:num w:numId="2" w16cid:durableId="329337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F2756"/>
    <w:rsid w:val="004F2756"/>
    <w:rsid w:val="00667668"/>
    <w:rsid w:val="00C656B0"/>
    <w:rsid w:val="00D2541A"/>
    <w:rsid w:val="00DC4535"/>
    <w:rsid w:val="00E31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F764"/>
  <w15:docId w15:val="{35152F35-69C7-4BEA-847D-445A9B07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D2541A"/>
    <w:pPr>
      <w:keepNext/>
      <w:keepLines/>
      <w:numPr>
        <w:numId w:val="2"/>
      </w:numPr>
      <w:pBdr>
        <w:bottom w:val="single" w:sz="12" w:space="4" w:color="0F1B61"/>
      </w:pBdr>
      <w:spacing w:before="360" w:after="160"/>
      <w:outlineLvl w:val="0"/>
    </w:pPr>
    <w:rPr>
      <w:b/>
      <w:bCs/>
      <w:color w:val="000000" w:themeColor="text1"/>
      <w:sz w:val="28"/>
      <w:szCs w:val="44"/>
    </w:rPr>
  </w:style>
  <w:style w:type="paragraph" w:styleId="Heading2">
    <w:name w:val="heading 2"/>
    <w:basedOn w:val="Normal"/>
    <w:next w:val="BodyText"/>
    <w:link w:val="Heading2Char"/>
    <w:uiPriority w:val="9"/>
    <w:unhideWhenUsed/>
    <w:qFormat/>
    <w:rsid w:val="00D2541A"/>
    <w:pPr>
      <w:keepNext/>
      <w:keepLines/>
      <w:numPr>
        <w:ilvl w:val="1"/>
        <w:numId w:val="2"/>
      </w:numPr>
      <w:spacing w:before="240" w:after="120"/>
      <w:outlineLvl w:val="1"/>
    </w:pPr>
    <w:rPr>
      <w:b/>
      <w:bCs/>
      <w:color w:val="000000" w:themeColor="text1"/>
      <w:sz w:val="24"/>
      <w:szCs w:val="24"/>
    </w:rPr>
  </w:style>
  <w:style w:type="paragraph" w:styleId="Heading3">
    <w:name w:val="heading 3"/>
    <w:basedOn w:val="Normal"/>
    <w:next w:val="BodyText"/>
    <w:link w:val="Heading3Char"/>
    <w:uiPriority w:val="9"/>
    <w:semiHidden/>
    <w:unhideWhenUsed/>
    <w:qFormat/>
    <w:rsid w:val="00A10FD9"/>
    <w:pPr>
      <w:keepNext/>
      <w:keepLines/>
      <w:numPr>
        <w:ilvl w:val="2"/>
        <w:numId w:val="2"/>
      </w:numPr>
      <w:spacing w:before="200" w:after="100"/>
      <w:outlineLvl w:val="2"/>
    </w:pPr>
    <w:rPr>
      <w:b/>
      <w:bCs/>
      <w:color w:val="2D5AA0"/>
      <w:sz w:val="25"/>
      <w:szCs w:val="25"/>
    </w:rPr>
  </w:style>
  <w:style w:type="paragraph" w:styleId="Heading4">
    <w:name w:val="heading 4"/>
    <w:basedOn w:val="Normal"/>
    <w:next w:val="BodyText"/>
    <w:link w:val="Heading4Char"/>
    <w:uiPriority w:val="9"/>
    <w:semiHidden/>
    <w:unhideWhenUsed/>
    <w:qFormat/>
    <w:rsid w:val="00A10FD9"/>
    <w:pPr>
      <w:keepNext/>
      <w:keepLines/>
      <w:numPr>
        <w:ilvl w:val="3"/>
        <w:numId w:val="2"/>
      </w:numPr>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numPr>
        <w:ilvl w:val="4"/>
        <w:numId w:val="2"/>
      </w:numPr>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line="276" w:lineRule="auto"/>
      <w:jc w:val="both"/>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rPr>
      <w:sz w:val="18"/>
      <w:szCs w:val="18"/>
    </w:r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2"/>
      <w:szCs w:val="22"/>
    </w:rPr>
  </w:style>
  <w:style w:type="paragraph" w:styleId="Date">
    <w:name w:val="Date"/>
    <w:basedOn w:val="Title"/>
    <w:next w:val="BodyText"/>
    <w:qFormat/>
    <w:pPr>
      <w:keepNext/>
      <w:keepLines/>
    </w:pPr>
    <w:rPr>
      <w:sz w:val="22"/>
      <w:szCs w:val="22"/>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D2541A"/>
    <w:rPr>
      <w:b/>
      <w:bCs/>
      <w:color w:val="000000" w:themeColor="text1"/>
      <w:sz w:val="28"/>
      <w:szCs w:val="44"/>
    </w:rPr>
  </w:style>
  <w:style w:type="character" w:customStyle="1" w:styleId="Heading2Char">
    <w:name w:val="Heading 2 Char"/>
    <w:basedOn w:val="DefaultParagraphFont"/>
    <w:link w:val="Heading2"/>
    <w:uiPriority w:val="9"/>
    <w:rsid w:val="00D2541A"/>
    <w:rPr>
      <w:b/>
      <w:bCs/>
      <w:color w:val="000000" w:themeColor="text1"/>
      <w:sz w:val="24"/>
      <w:szCs w:val="24"/>
    </w:rPr>
  </w:style>
  <w:style w:type="character" w:customStyle="1" w:styleId="Heading3Char">
    <w:name w:val="Heading 3 Char"/>
    <w:basedOn w:val="DefaultParagraphFont"/>
    <w:link w:val="Heading3"/>
    <w:uiPriority w:val="9"/>
    <w:semiHidden/>
    <w:rsid w:val="00A10FD9"/>
    <w:rPr>
      <w:b/>
      <w:bCs/>
      <w:color w:val="2D5AA0"/>
      <w:sz w:val="25"/>
      <w:szCs w:val="25"/>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Borders>
        <w:top w:val="nil"/>
        <w:left w:val="nil"/>
        <w:bottom w:val="single" w:sz="4" w:space="0" w:color="E0E0E0"/>
        <w:right w:val="nil"/>
        <w:insideH w:val="single" w:sz="4" w:space="0" w:color="E0E0E0"/>
        <w:insideV w:val="nil"/>
      </w:tblBorders>
      <w:tblCellMar>
        <w:top w:w="80" w:type="dxa"/>
        <w:left w:w="108" w:type="dxa"/>
        <w:bottom w:w="80" w:type="dxa"/>
        <w:right w:w="108" w:type="dxa"/>
      </w:tblCellMar>
    </w:tblPr>
    <w:tblStylePr w:type="firstRow">
      <w:rPr>
        <w:b/>
        <w:bCs/>
      </w:rPr>
      <w:tblPr/>
      <w:tcPr>
        <w:tcBorders>
          <w:bottom w:val="single" w:sz="12" w:space="0" w:color="0F1B61"/>
        </w:tcBorders>
        <w:shd w:val="clear" w:color="auto" w:fill="F0F3FA"/>
        <w:vAlign w:val="bottom"/>
      </w:tcPr>
    </w:tblStylePr>
    <w:tblStylePr w:type="band1Horz">
      <w:tblPr/>
      <w:tcPr>
        <w:shd w:val="clear" w:color="auto" w:fill="FAFAFA"/>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0F476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2">
    <w:name w:val="toc 2"/>
    <w:basedOn w:val="Normal"/>
    <w:next w:val="Normal"/>
    <w:autoRedefine/>
    <w:uiPriority w:val="39"/>
    <w:rsid w:val="00D2541A"/>
    <w:pPr>
      <w:spacing w:after="100"/>
      <w:ind w:left="220"/>
    </w:pPr>
  </w:style>
  <w:style w:type="paragraph" w:styleId="Header">
    <w:name w:val="header"/>
    <w:basedOn w:val="Normal"/>
    <w:link w:val="HeaderChar"/>
    <w:rsid w:val="00D2541A"/>
    <w:pPr>
      <w:tabs>
        <w:tab w:val="center" w:pos="4513"/>
        <w:tab w:val="right" w:pos="9026"/>
      </w:tabs>
      <w:spacing w:after="0"/>
    </w:pPr>
  </w:style>
  <w:style w:type="character" w:customStyle="1" w:styleId="HeaderChar">
    <w:name w:val="Header Char"/>
    <w:basedOn w:val="DefaultParagraphFont"/>
    <w:link w:val="Header"/>
    <w:rsid w:val="00D2541A"/>
  </w:style>
  <w:style w:type="paragraph" w:styleId="Footer">
    <w:name w:val="footer"/>
    <w:basedOn w:val="Normal"/>
    <w:link w:val="FooterChar"/>
    <w:rsid w:val="00D2541A"/>
    <w:pPr>
      <w:tabs>
        <w:tab w:val="center" w:pos="4513"/>
        <w:tab w:val="right" w:pos="9026"/>
      </w:tabs>
      <w:spacing w:after="0"/>
    </w:pPr>
  </w:style>
  <w:style w:type="character" w:customStyle="1" w:styleId="FooterChar">
    <w:name w:val="Footer Char"/>
    <w:basedOn w:val="DefaultParagraphFont"/>
    <w:link w:val="Footer"/>
    <w:rsid w:val="00D2541A"/>
  </w:style>
  <w:style w:type="paragraph" w:customStyle="1" w:styleId="Hanging">
    <w:name w:val="Hanging"/>
    <w:basedOn w:val="BodyText"/>
    <w:link w:val="HangingChar"/>
    <w:qFormat/>
    <w:rsid w:val="00D2541A"/>
    <w:pPr>
      <w:spacing w:line="480" w:lineRule="auto"/>
      <w:ind w:firstLine="720"/>
    </w:pPr>
    <w:rPr>
      <w:rFonts w:asciiTheme="majorHAnsi" w:hAnsiTheme="majorHAnsi" w:cstheme="majorHAnsi"/>
      <w:sz w:val="24"/>
      <w:szCs w:val="24"/>
    </w:rPr>
  </w:style>
  <w:style w:type="character" w:customStyle="1" w:styleId="BodyTextChar">
    <w:name w:val="Body Text Char"/>
    <w:basedOn w:val="DefaultParagraphFont"/>
    <w:link w:val="BodyText"/>
    <w:rsid w:val="00D2541A"/>
  </w:style>
  <w:style w:type="character" w:customStyle="1" w:styleId="HangingChar">
    <w:name w:val="Hanging Char"/>
    <w:basedOn w:val="BodyTextChar"/>
    <w:link w:val="Hanging"/>
    <w:rsid w:val="00D2541A"/>
    <w:rPr>
      <w:rFonts w:asciiTheme="majorHAnsi" w:hAnsiTheme="majorHAnsi" w:cstheme="majorHAnsi"/>
      <w:sz w:val="24"/>
      <w:szCs w:val="24"/>
    </w:rPr>
  </w:style>
  <w:style w:type="paragraph" w:styleId="TOC1">
    <w:name w:val="toc 1"/>
    <w:basedOn w:val="Normal"/>
    <w:next w:val="Normal"/>
    <w:autoRedefine/>
    <w:uiPriority w:val="39"/>
    <w:rsid w:val="00DC453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hsr2.72462" TargetMode="External"/><Relationship Id="rId13" Type="http://schemas.openxmlformats.org/officeDocument/2006/relationships/hyperlink" Target="https://doi.org/10.3389/fped.2022.954995" TargetMode="External"/><Relationship Id="rId18" Type="http://schemas.openxmlformats.org/officeDocument/2006/relationships/hyperlink" Target="https://doi.org/10.3390/children12111424" TargetMode="External"/><Relationship Id="rId26" Type="http://schemas.openxmlformats.org/officeDocument/2006/relationships/hyperlink" Target="https://doi.org/10.1093/jbcr/iraf184" TargetMode="External"/><Relationship Id="rId3" Type="http://schemas.openxmlformats.org/officeDocument/2006/relationships/styles" Target="styles.xml"/><Relationship Id="rId21" Type="http://schemas.openxmlformats.org/officeDocument/2006/relationships/hyperlink" Target="https://doi.org/10.1093/jbcr/irac096" TargetMode="External"/><Relationship Id="rId7" Type="http://schemas.openxmlformats.org/officeDocument/2006/relationships/endnotes" Target="endnotes.xml"/><Relationship Id="rId12" Type="http://schemas.openxmlformats.org/officeDocument/2006/relationships/hyperlink" Target="https://doi.org/10.1080/00185868.2021.2002220" TargetMode="External"/><Relationship Id="rId17" Type="http://schemas.openxmlformats.org/officeDocument/2006/relationships/hyperlink" Target="https://doi.org/10.1055/s-0044-1782645" TargetMode="External"/><Relationship Id="rId25" Type="http://schemas.openxmlformats.org/officeDocument/2006/relationships/hyperlink" Target="https://doi.org/10.1093/inthealth/ihaf035" TargetMode="External"/><Relationship Id="rId2" Type="http://schemas.openxmlformats.org/officeDocument/2006/relationships/numbering" Target="numbering.xml"/><Relationship Id="rId16" Type="http://schemas.openxmlformats.org/officeDocument/2006/relationships/hyperlink" Target="https://doi.org/10.1016/j.ijans.2025.100952" TargetMode="External"/><Relationship Id="rId20" Type="http://schemas.openxmlformats.org/officeDocument/2006/relationships/hyperlink" Target="https://doi.org/10.2471/BLT.20.27978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0185868.2024.2393209" TargetMode="External"/><Relationship Id="rId24" Type="http://schemas.openxmlformats.org/officeDocument/2006/relationships/hyperlink" Target="https://doi.org/10.17343/sdutfd.1707564" TargetMode="External"/><Relationship Id="rId5" Type="http://schemas.openxmlformats.org/officeDocument/2006/relationships/webSettings" Target="webSettings.xml"/><Relationship Id="rId15" Type="http://schemas.openxmlformats.org/officeDocument/2006/relationships/hyperlink" Target="https://doi.org/10.1055/s-0044-1782647" TargetMode="External"/><Relationship Id="rId23" Type="http://schemas.openxmlformats.org/officeDocument/2006/relationships/hyperlink" Target="https://doi.org/10.1002/wjs.12411" TargetMode="External"/><Relationship Id="rId28" Type="http://schemas.openxmlformats.org/officeDocument/2006/relationships/hyperlink" Target="https://doi.org/10.1093/jbcr/irae037" TargetMode="External"/><Relationship Id="rId10" Type="http://schemas.openxmlformats.org/officeDocument/2006/relationships/hyperlink" Target="https://doi.org/10.1177/0974150X231204172" TargetMode="External"/><Relationship Id="rId19" Type="http://schemas.openxmlformats.org/officeDocument/2006/relationships/hyperlink" Target="https://doi.org/10.1016/j.burns.2021.07.004" TargetMode="External"/><Relationship Id="rId4" Type="http://schemas.openxmlformats.org/officeDocument/2006/relationships/settings" Target="settings.xml"/><Relationship Id="rId9" Type="http://schemas.openxmlformats.org/officeDocument/2006/relationships/hyperlink" Target="https://doi.org/10.1093/jbcr/irab237" TargetMode="External"/><Relationship Id="rId14" Type="http://schemas.openxmlformats.org/officeDocument/2006/relationships/hyperlink" Target="https://doi.org/10.1093/jbcr/irac019" TargetMode="External"/><Relationship Id="rId22" Type="http://schemas.openxmlformats.org/officeDocument/2006/relationships/hyperlink" Target="https://doi.org/10.1016/j.burns.2024.107315" TargetMode="External"/><Relationship Id="rId27" Type="http://schemas.openxmlformats.org/officeDocument/2006/relationships/hyperlink" Target="https://doi.org/10.1186/s12887-025-05859-3"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3DEA4-717F-43C6-82F3-2BCB470C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4382</Words>
  <Characters>24978</Characters>
  <Application>Microsoft Office Word</Application>
  <DocSecurity>0</DocSecurity>
  <Lines>351</Lines>
  <Paragraphs>67</Paragraphs>
  <ScaleCrop>false</ScaleCrop>
  <HeadingPairs>
    <vt:vector size="2" baseType="variant">
      <vt:variant>
        <vt:lpstr>Title</vt:lpstr>
      </vt:variant>
      <vt:variant>
        <vt:i4>1</vt:i4>
      </vt:variant>
    </vt:vector>
  </HeadingPairs>
  <TitlesOfParts>
    <vt:vector size="1" baseType="lpstr">
      <vt:lpstr>Literature review</vt:lpstr>
    </vt:vector>
  </TitlesOfParts>
  <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dc:title>
  <dc:creator/>
  <cp:keywords/>
  <cp:lastModifiedBy>Jimu</cp:lastModifiedBy>
  <cp:revision>3</cp:revision>
  <dcterms:created xsi:type="dcterms:W3CDTF">1970-01-01T00:00:00Z</dcterms:created>
  <dcterms:modified xsi:type="dcterms:W3CDTF">2026-06-26T11:53:00Z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/tmp/tmpejknsort/references.json</vt:lpwstr>
  </property>
  <property fmtid="{D5CDD505-2E9C-101B-9397-08002B2CF9AE}" pid="3" name="csl">
    <vt:lpwstr>/home/ec2-user/django_website_abstract/config/export/citation_styles/apa.csl</vt:lpwstr>
  </property>
  <property fmtid="{D5CDD505-2E9C-101B-9397-08002B2CF9AE}" pid="4" name="date">
    <vt:lpwstr>June 26, 2026</vt:lpwstr>
  </property>
  <property fmtid="{D5CDD505-2E9C-101B-9397-08002B2CF9AE}" pid="5" name="GrammarlyDocumentId">
    <vt:lpwstr>78ad802e-589c-42e1-a52c-d4f2125215a1</vt:lpwstr>
  </property>
</Properties>
</file>