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9765A2">
      <w:pPr>
        <w:spacing w:before="100" w:beforeAutospacing="1" w:after="100" w:afterAutospacing="1" w:line="360" w:lineRule="auto"/>
        <w:ind w:left="720"/>
        <w:contextualSpacing/>
        <w:jc w:val="both"/>
        <w:outlineLvl w:val="2"/>
        <w:rPr>
          <w:rFonts w:hint="default" w:ascii="Times New Roman" w:hAnsi="Times New Roman" w:eastAsia="Times New Roman" w:cs="Times New Roman"/>
          <w:b/>
          <w:bCs/>
          <w:sz w:val="24"/>
          <w:szCs w:val="24"/>
          <w:lang w:val="en-US" w:eastAsia="en-GB"/>
        </w:rPr>
      </w:pPr>
      <w:r>
        <w:rPr>
          <w:rFonts w:hint="default" w:ascii="Times New Roman" w:hAnsi="Times New Roman" w:eastAsia="Times New Roman" w:cs="Times New Roman"/>
          <w:b/>
          <w:bCs/>
          <w:sz w:val="24"/>
          <w:szCs w:val="24"/>
          <w:lang w:val="en-US" w:eastAsia="en-GB"/>
        </w:rPr>
        <w:t>IS IT BY DESIGN OR BY DEFAULT? INVESTIGATINGTEACHER EXPERIENCES ON THEIR ROLE AS SCHOOL COUNSELLORS.</w:t>
      </w:r>
      <w:bookmarkStart w:id="0" w:name="_GoBack"/>
      <w:bookmarkEnd w:id="0"/>
    </w:p>
    <w:p w14:paraId="67F543FE">
      <w:pPr>
        <w:spacing w:before="100" w:beforeAutospacing="1" w:after="100" w:afterAutospacing="1" w:line="360" w:lineRule="auto"/>
        <w:ind w:left="720"/>
        <w:contextualSpacing/>
        <w:jc w:val="both"/>
        <w:outlineLvl w:val="2"/>
        <w:rPr>
          <w:rFonts w:ascii="Times New Roman" w:hAnsi="Times New Roman" w:eastAsia="Times New Roman" w:cs="Times New Roman"/>
          <w:b/>
          <w:bCs/>
          <w:sz w:val="24"/>
          <w:szCs w:val="24"/>
          <w:lang w:eastAsia="en-GB"/>
        </w:rPr>
      </w:pPr>
    </w:p>
    <w:p w14:paraId="3039A5EC">
      <w:pPr>
        <w:pStyle w:val="8"/>
        <w:numPr>
          <w:ilvl w:val="0"/>
          <w:numId w:val="1"/>
        </w:numPr>
        <w:spacing w:before="100" w:beforeAutospacing="1" w:after="100" w:afterAutospacing="1" w:line="360" w:lineRule="auto"/>
        <w:jc w:val="both"/>
        <w:outlineLvl w:val="2"/>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Introduction and Background to the study</w:t>
      </w:r>
    </w:p>
    <w:p w14:paraId="066CE499">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School guidance and Counselling services are important aspects of the school system. Counselling services are not just for students who are involved in disciplinary issues, but also for positive development of individuals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Ama19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(Amat, 2019)</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xml:space="preserve">. The purpose of guidance and counselling programmes is to help identify and address issues that can affect a student’s learning, such as anxiety, stress, depression, as well as behavioural problems. It helps students develop problem-solving skills, decision making, and coping strategies to manage challenging situations, thereby enhancing their academic performance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Par23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(Parveen, 2023)</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xml:space="preserve">. </w:t>
      </w:r>
    </w:p>
    <w:p w14:paraId="34C9D899">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In the modern world, schools are not just academic institution but also psychosocial environments, as such, guidance and counselling services have emerged as essential mechanisms for supporting learners in navigating emerging developmental challenges</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Kan15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 xml:space="preserve"> (Kanga, 2015)</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Effective school counselling contributes significantly to students’ emotional stability, behavioural regulation, and academic success. Similarly,</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b/>
          <w:sz w:val="24"/>
          <w:szCs w:val="24"/>
          <w:lang w:val="en-US" w:eastAsia="en-GB"/>
        </w:rPr>
        <w:instrText xml:space="preserve"> CITATION Soo16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b/>
          <w:sz w:val="24"/>
          <w:szCs w:val="24"/>
          <w:lang w:val="en-US" w:eastAsia="en-GB"/>
        </w:rPr>
        <w:t xml:space="preserve"> </w:t>
      </w:r>
      <w:r>
        <w:rPr>
          <w:rFonts w:ascii="Times New Roman" w:hAnsi="Times New Roman" w:eastAsia="Times New Roman" w:cs="Times New Roman"/>
          <w:sz w:val="24"/>
          <w:szCs w:val="24"/>
          <w:lang w:val="en-US" w:eastAsia="en-GB"/>
        </w:rPr>
        <w:t>(Sood, 2016)</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xml:space="preserve"> argues that guidance and counselling should prepare students for adulthood by equipping them with values, attitudes, and decision-making skills necessary for productive citizenship. </w:t>
      </w:r>
    </w:p>
    <w:p w14:paraId="32CEEDF5">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Furthermore, counselling services assist learners in developing positive self-concepts, identity formation, and resilience in the face of adversity. However, in many developing countries , particularly in Sub-Saharan Africa,  the implementation of school counselling programmes  remains inconsistent and under-resourced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Cha07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(Chavuta, 2007)</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xml:space="preserve">. </w:t>
      </w:r>
    </w:p>
    <w:p w14:paraId="3909DC95">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Despite introducing school guidance and counselling services about three decades ago, the majority of individuals delivering these services in Malawi’s secondary schools are regular teachers without formal training in counselling or psychology.</w:t>
      </w:r>
    </w:p>
    <w:p w14:paraId="2F06F8E0">
      <w:pPr>
        <w:spacing w:before="100" w:beforeAutospacing="1" w:after="100" w:afterAutospacing="1" w:line="360" w:lineRule="auto"/>
        <w:jc w:val="both"/>
        <w:rPr>
          <w:rFonts w:ascii="Times New Roman" w:hAnsi="Times New Roman" w:eastAsia="Times New Roman" w:cs="Times New Roman"/>
          <w:sz w:val="24"/>
          <w:szCs w:val="24"/>
          <w:lang w:eastAsia="en-GB"/>
        </w:rPr>
      </w:pPr>
    </w:p>
    <w:p w14:paraId="46B9B014">
      <w:pPr>
        <w:spacing w:before="100" w:beforeAutospacing="1" w:after="100" w:afterAutospacing="1" w:line="360" w:lineRule="auto"/>
        <w:jc w:val="both"/>
        <w:rPr>
          <w:rFonts w:ascii="Times New Roman" w:hAnsi="Times New Roman" w:eastAsia="Times New Roman" w:cs="Times New Roman"/>
          <w:sz w:val="24"/>
          <w:szCs w:val="24"/>
          <w:lang w:eastAsia="en-GB"/>
        </w:rPr>
      </w:pPr>
    </w:p>
    <w:p w14:paraId="146DDEFE">
      <w:pPr>
        <w:spacing w:before="100" w:beforeAutospacing="1" w:after="100" w:afterAutospacing="1" w:line="360" w:lineRule="auto"/>
        <w:jc w:val="both"/>
        <w:rPr>
          <w:rFonts w:ascii="Times New Roman" w:hAnsi="Times New Roman" w:eastAsia="Times New Roman" w:cs="Times New Roman"/>
          <w:sz w:val="24"/>
          <w:szCs w:val="24"/>
          <w:lang w:eastAsia="en-GB"/>
        </w:rPr>
      </w:pPr>
    </w:p>
    <w:p w14:paraId="67795C34">
      <w:pPr>
        <w:spacing w:before="100" w:beforeAutospacing="1" w:after="100" w:afterAutospacing="1" w:line="360" w:lineRule="auto"/>
        <w:jc w:val="both"/>
        <w:rPr>
          <w:rFonts w:ascii="Times New Roman" w:hAnsi="Times New Roman" w:eastAsia="Times New Roman" w:cs="Times New Roman"/>
          <w:sz w:val="24"/>
          <w:szCs w:val="24"/>
          <w:lang w:eastAsia="en-GB"/>
        </w:rPr>
      </w:pPr>
    </w:p>
    <w:p w14:paraId="67AB8C48">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global recognition of guidance and counselling as a critical educational service aligns with Sustainable Development Goal 4.7, which seeks to ensure that all learners acquire the knowledge, values, and skills necessary to promote sustainable development, peace, human rights, and social inclusion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UNE16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(UNESCO., 2016)</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Achieving this goal requires education systems to address not only academic outcomes but also learners’ psychosocial and emotional well-being.</w:t>
      </w:r>
    </w:p>
    <w:p w14:paraId="5AC752F6">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Historically, international organizations such as UNESCO have advocated for the integration of counselling and guidance into teacher education programmes, particularly in developing countries where specialized counselling personnel are scarce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UNE16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(UNESCO., 2016)</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This recommendation was grounded in the understanding that schools are often the most accessible environments for early psychosocial intervention.</w:t>
      </w:r>
    </w:p>
    <w:p w14:paraId="461A3028">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Across Africa, many education systems have adopted teacher-counsellor models as a practical solution to the shortage of professional counsellors. Countries such as Kenya, Zimbabwe, and Nigeria increasingly rely on teachers to provide guidance and counselling services, often after receiving limited orientation or short-term training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Chi13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(Chireshe, 2013)</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While this approach expands access to support services, it also introduces concerns regarding quality, confidentiality, and professional limitations.</w:t>
      </w:r>
    </w:p>
    <w:p w14:paraId="7023123B">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In Malawi, the institutionalization of school counselling emerged as a response to growing social challenges affecting learners, including HIV/AIDS, teenage pregnancy, school violence, substance abuse, and emotional distress. Although national education policies emphasize learner welfare and psychosocial support, the majority of secondary schools continue to depend on regular teachers as counsellors</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Mal98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 xml:space="preserve"> (Maluwa-banda, 1998)</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The increasing dependence on teacher-counsellors raises critical concerns regarding whether these teachers possess the competencies necessary to address complex student issues effectively.</w:t>
      </w:r>
    </w:p>
    <w:p w14:paraId="55C8BDF9">
      <w:pPr>
        <w:spacing w:before="100" w:beforeAutospacing="1" w:after="100" w:afterAutospacing="1" w:line="360" w:lineRule="auto"/>
        <w:jc w:val="both"/>
        <w:rPr>
          <w:rFonts w:ascii="Times New Roman" w:hAnsi="Times New Roman" w:eastAsia="Times New Roman" w:cs="Times New Roman"/>
          <w:sz w:val="24"/>
          <w:szCs w:val="24"/>
          <w:lang w:eastAsia="en-GB"/>
        </w:rPr>
      </w:pPr>
    </w:p>
    <w:p w14:paraId="685CE8F3">
      <w:pPr>
        <w:spacing w:before="100" w:beforeAutospacing="1" w:after="100" w:afterAutospacing="1" w:line="360" w:lineRule="auto"/>
        <w:jc w:val="both"/>
        <w:rPr>
          <w:rFonts w:ascii="Times New Roman" w:hAnsi="Times New Roman" w:eastAsia="Times New Roman" w:cs="Times New Roman"/>
          <w:sz w:val="24"/>
          <w:szCs w:val="24"/>
          <w:lang w:eastAsia="en-GB"/>
        </w:rPr>
      </w:pPr>
    </w:p>
    <w:p w14:paraId="4B3469BE">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 </w:t>
      </w:r>
    </w:p>
    <w:p w14:paraId="70DC6A2C">
      <w:pPr>
        <w:spacing w:before="100" w:beforeAutospacing="1" w:after="100" w:afterAutospacing="1" w:line="360" w:lineRule="auto"/>
        <w:jc w:val="both"/>
        <w:rPr>
          <w:rFonts w:ascii="Times New Roman" w:hAnsi="Times New Roman" w:eastAsia="Times New Roman" w:cs="Times New Roman"/>
          <w:b/>
          <w:bCs/>
          <w:sz w:val="24"/>
          <w:szCs w:val="24"/>
          <w:lang w:eastAsia="en-GB"/>
        </w:rPr>
      </w:pPr>
      <w:r>
        <w:rPr>
          <w:rFonts w:ascii="Times New Roman" w:hAnsi="Times New Roman" w:eastAsia="Times New Roman" w:cs="Times New Roman"/>
          <w:sz w:val="24"/>
          <w:szCs w:val="24"/>
          <w:lang w:eastAsia="en-GB"/>
        </w:rPr>
        <w:t>This is a reality that raises the important questions regarding the professional competence, ethical practices, the teacher-counsellors’ well-being and role boundaries. Therefore, the question whether it is by design or by default that teachers are counsellors warrants to be critically investigated.</w:t>
      </w:r>
    </w:p>
    <w:p w14:paraId="2A585D97">
      <w:pPr>
        <w:spacing w:before="100" w:beforeAutospacing="1" w:after="100" w:afterAutospacing="1" w:line="360" w:lineRule="auto"/>
        <w:contextualSpacing/>
        <w:jc w:val="both"/>
        <w:outlineLvl w:val="2"/>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2. Statement of the Problem</w:t>
      </w:r>
    </w:p>
    <w:p w14:paraId="6516BAF3">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assumption that any teacher can serve as a counsellor has become widely normalized in many educational settings, particularly in Malawi. However, according to</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Ame22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 xml:space="preserve"> (American School Counsellor Association., 2022)</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teachers manage classroom-wide academic instruction, curriculum, delivery and cognitive development , whereas qualified counsellors offer individualised psychological support to address the specific emotional and, mental health needs of individual students.</w:t>
      </w:r>
    </w:p>
    <w:p w14:paraId="37B0C9F2">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Therefore, assigning counselling responsibilities to untrained teachers creates multiple challenges that includes lack of competency to manage complex emotional disclosures such as trauma, suicidal ideation, abuse, or severe psychological distress, thereby increasing ethical and clinical risks.</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Nyi20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 xml:space="preserve"> (Nyirenda, 2020)</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xml:space="preserve">. On top of that, the dual burden of teaching and counselling may contribute to psychological burden which may lead to teacher stress, burnout, and emotional exhaustion. This reduces the teacher- counsellor’s effectiveness in both roles, </w:t>
      </w:r>
    </w:p>
    <w:p w14:paraId="50C56774">
      <w:pPr>
        <w:spacing w:before="100" w:beforeAutospacing="1" w:after="100" w:afterAutospacing="1" w:line="360" w:lineRule="auto"/>
        <w:jc w:val="both"/>
        <w:rPr>
          <w:rFonts w:ascii="Times New Roman" w:hAnsi="Times New Roman" w:eastAsia="Times New Roman" w:cs="Times New Roman"/>
          <w:i/>
          <w:sz w:val="24"/>
          <w:szCs w:val="24"/>
          <w:lang w:eastAsia="en-GB"/>
        </w:rPr>
      </w:pPr>
      <w:r>
        <w:rPr>
          <w:rFonts w:ascii="Times New Roman" w:hAnsi="Times New Roman" w:eastAsia="Times New Roman" w:cs="Times New Roman"/>
          <w:sz w:val="24"/>
          <w:szCs w:val="24"/>
          <w:lang w:eastAsia="en-GB"/>
        </w:rPr>
        <w:t xml:space="preserve">Although previous studies in Malawi have examined the existence of school guidance and counselling programmes and their effectiveness, there remains limited empirical research focusing the professional distinction between teaching and counselling, competency and preparedness, psychological burden, and student trust and counselling outcomes. Thus this paper attempts to investigate </w:t>
      </w:r>
    </w:p>
    <w:p w14:paraId="5818C7C6">
      <w:pPr>
        <w:spacing w:before="100" w:beforeAutospacing="1" w:after="100" w:afterAutospacing="1" w:line="360" w:lineRule="auto"/>
        <w:contextualSpacing/>
        <w:jc w:val="both"/>
        <w:outlineLvl w:val="2"/>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3. Purpose of the Study</w:t>
      </w:r>
    </w:p>
    <w:p w14:paraId="0E61D779">
      <w:pPr>
        <w:spacing w:before="100" w:beforeAutospacing="1" w:after="100" w:afterAutospacing="1" w:line="360" w:lineRule="auto"/>
        <w:jc w:val="both"/>
        <w:outlineLvl w:val="2"/>
        <w:rPr>
          <w:rFonts w:ascii="Times New Roman" w:hAnsi="Times New Roman" w:eastAsia="Times New Roman" w:cs="Times New Roman"/>
          <w:b/>
          <w:bCs/>
          <w:sz w:val="24"/>
          <w:szCs w:val="24"/>
          <w:lang w:eastAsia="en-GB"/>
        </w:rPr>
      </w:pPr>
      <w:r>
        <w:rPr>
          <w:rFonts w:ascii="Times New Roman" w:hAnsi="Times New Roman" w:eastAsia="Times New Roman" w:cs="Times New Roman"/>
          <w:bCs/>
          <w:sz w:val="24"/>
          <w:szCs w:val="24"/>
          <w:lang w:eastAsia="en-GB"/>
        </w:rPr>
        <w:t>The purpose of this research is to critically` investigate whether teachers’ counselling roles in Malawi’s secondary schools are institutionally designed as part of their professional responsibilities or whether they emerge by default</w:t>
      </w:r>
      <w:r>
        <w:rPr>
          <w:rFonts w:ascii="Times New Roman" w:hAnsi="Times New Roman" w:eastAsia="Times New Roman" w:cs="Times New Roman"/>
          <w:b/>
          <w:bCs/>
          <w:sz w:val="24"/>
          <w:szCs w:val="24"/>
          <w:lang w:eastAsia="en-GB"/>
        </w:rPr>
        <w:t>.</w:t>
      </w:r>
    </w:p>
    <w:p w14:paraId="247B5CF4">
      <w:pPr>
        <w:spacing w:before="100" w:beforeAutospacing="1" w:after="100" w:afterAutospacing="1" w:line="360" w:lineRule="auto"/>
        <w:jc w:val="both"/>
        <w:outlineLvl w:val="2"/>
        <w:rPr>
          <w:rFonts w:ascii="Times New Roman" w:hAnsi="Times New Roman" w:eastAsia="Times New Roman" w:cs="Times New Roman"/>
          <w:b/>
          <w:bCs/>
          <w:sz w:val="24"/>
          <w:szCs w:val="24"/>
          <w:lang w:eastAsia="en-GB"/>
        </w:rPr>
      </w:pPr>
    </w:p>
    <w:p w14:paraId="2A633D09">
      <w:pPr>
        <w:spacing w:before="100" w:beforeAutospacing="1" w:after="100" w:afterAutospacing="1" w:line="360" w:lineRule="auto"/>
        <w:ind w:left="360"/>
        <w:contextualSpacing/>
        <w:jc w:val="both"/>
        <w:outlineLvl w:val="2"/>
        <w:rPr>
          <w:rFonts w:ascii="Times New Roman" w:hAnsi="Times New Roman" w:eastAsia="Times New Roman" w:cs="Times New Roman"/>
          <w:b/>
          <w:bCs/>
          <w:sz w:val="24"/>
          <w:szCs w:val="24"/>
          <w:lang w:eastAsia="en-GB"/>
        </w:rPr>
      </w:pPr>
    </w:p>
    <w:p w14:paraId="7AC63066">
      <w:pPr>
        <w:spacing w:before="100" w:beforeAutospacing="1" w:after="100" w:afterAutospacing="1" w:line="360" w:lineRule="auto"/>
        <w:jc w:val="both"/>
        <w:outlineLvl w:val="2"/>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4.Research Objectives</w:t>
      </w:r>
    </w:p>
    <w:p w14:paraId="27151945">
      <w:pPr>
        <w:spacing w:before="100" w:beforeAutospacing="1" w:after="100" w:afterAutospacing="1" w:line="360" w:lineRule="auto"/>
        <w:jc w:val="both"/>
        <w:outlineLvl w:val="3"/>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General Objective</w:t>
      </w:r>
    </w:p>
    <w:p w14:paraId="293495B5">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To critically investigate whether teachers are counsellors by design or by default, by examining the experiences, competencies, challenges, and effectiveness of teacher-counsellors in Malawi’s secondary schools.</w:t>
      </w:r>
    </w:p>
    <w:p w14:paraId="20132468">
      <w:pPr>
        <w:spacing w:before="100" w:beforeAutospacing="1" w:after="100" w:afterAutospacing="1" w:line="360" w:lineRule="auto"/>
        <w:jc w:val="both"/>
        <w:outlineLvl w:val="3"/>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Specific Objectives</w:t>
      </w:r>
    </w:p>
    <w:p w14:paraId="4C2BE4C3">
      <w:pPr>
        <w:numPr>
          <w:ilvl w:val="0"/>
          <w:numId w:val="2"/>
        </w:numPr>
        <w:tabs>
          <w:tab w:val="left" w:pos="720"/>
        </w:tabs>
        <w:spacing w:before="100" w:beforeAutospacing="1" w:after="100" w:afterAutospacing="1" w:line="360" w:lineRule="auto"/>
        <w:ind w:left="72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To examine the professional distinction between teaching and counselling.</w:t>
      </w:r>
    </w:p>
    <w:p w14:paraId="65328E4D">
      <w:pPr>
        <w:numPr>
          <w:ilvl w:val="0"/>
          <w:numId w:val="2"/>
        </w:numPr>
        <w:tabs>
          <w:tab w:val="left" w:pos="720"/>
        </w:tabs>
        <w:spacing w:before="100" w:beforeAutospacing="1" w:after="100" w:afterAutospacing="1" w:line="360" w:lineRule="auto"/>
        <w:ind w:left="72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To assess the counselling competencies possessed by teachers assigned counselling responsibilities.</w:t>
      </w:r>
    </w:p>
    <w:p w14:paraId="348956C7">
      <w:pPr>
        <w:numPr>
          <w:ilvl w:val="0"/>
          <w:numId w:val="2"/>
        </w:numPr>
        <w:tabs>
          <w:tab w:val="left" w:pos="720"/>
        </w:tabs>
        <w:spacing w:before="100" w:beforeAutospacing="1" w:after="100" w:afterAutospacing="1" w:line="360" w:lineRule="auto"/>
        <w:ind w:left="72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To explore the psychological burden associated with balancing teaching and counselling duties.</w:t>
      </w:r>
    </w:p>
    <w:p w14:paraId="418D32FB">
      <w:pPr>
        <w:numPr>
          <w:ilvl w:val="0"/>
          <w:numId w:val="2"/>
        </w:numPr>
        <w:tabs>
          <w:tab w:val="left" w:pos="720"/>
        </w:tabs>
        <w:spacing w:before="100" w:beforeAutospacing="1" w:after="100" w:afterAutospacing="1" w:line="360" w:lineRule="auto"/>
        <w:ind w:left="72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To investigate student trust in teacher-counsellors and its impact on counselling outcomes.</w:t>
      </w:r>
    </w:p>
    <w:p w14:paraId="7D5DCA66">
      <w:pPr>
        <w:spacing w:before="100" w:beforeAutospacing="1" w:after="100" w:afterAutospacing="1" w:line="360" w:lineRule="auto"/>
        <w:ind w:left="360"/>
        <w:jc w:val="both"/>
        <w:outlineLvl w:val="2"/>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5.Research Questions</w:t>
      </w:r>
    </w:p>
    <w:p w14:paraId="16914FD7">
      <w:pPr>
        <w:spacing w:before="100" w:beforeAutospacing="1" w:after="100" w:afterAutospacing="1" w:line="360" w:lineRule="auto"/>
        <w:jc w:val="both"/>
        <w:outlineLvl w:val="3"/>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Main Research Question</w:t>
      </w:r>
    </w:p>
    <w:p w14:paraId="6AAF1925">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Is it by design or by default that teachers are counsellors? Investigating teachers’ experiences on their role as school counsellors in Malawi’s secondary schools.</w:t>
      </w:r>
    </w:p>
    <w:p w14:paraId="6EB9939A">
      <w:pPr>
        <w:spacing w:before="100" w:beforeAutospacing="1" w:after="100" w:afterAutospacing="1" w:line="360" w:lineRule="auto"/>
        <w:jc w:val="both"/>
        <w:outlineLvl w:val="3"/>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Sub-questions</w:t>
      </w:r>
    </w:p>
    <w:p w14:paraId="3439452C">
      <w:pPr>
        <w:numPr>
          <w:ilvl w:val="0"/>
          <w:numId w:val="3"/>
        </w:numPr>
        <w:spacing w:before="100" w:beforeAutospacing="1" w:after="100" w:afterAutospacing="1" w:line="360" w:lineRule="auto"/>
        <w:contextualSpacing/>
        <w:jc w:val="both"/>
        <w:outlineLvl w:val="3"/>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What is the distinction between teaching and counselling?</w:t>
      </w:r>
    </w:p>
    <w:p w14:paraId="60EB84D3">
      <w:pPr>
        <w:numPr>
          <w:ilvl w:val="0"/>
          <w:numId w:val="3"/>
        </w:num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What counselling competencies do teachers who take up the role of counsellors in Malawi’s secondary schools possess?</w:t>
      </w:r>
    </w:p>
    <w:p w14:paraId="4C24367F">
      <w:pPr>
        <w:numPr>
          <w:ilvl w:val="0"/>
          <w:numId w:val="3"/>
        </w:num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What psychological burdens do teachers experience who are assigned Counselling roles encounter while performing counselling roles?</w:t>
      </w:r>
    </w:p>
    <w:p w14:paraId="67DCDD11">
      <w:pPr>
        <w:numPr>
          <w:ilvl w:val="0"/>
          <w:numId w:val="3"/>
        </w:num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How do students who need psychosocial support perceive and trust teachers-counsellors?</w:t>
      </w:r>
    </w:p>
    <w:p w14:paraId="4C918E6E">
      <w:pPr>
        <w:spacing w:before="100" w:beforeAutospacing="1" w:after="100" w:afterAutospacing="1" w:line="360" w:lineRule="auto"/>
        <w:jc w:val="both"/>
        <w:rPr>
          <w:rFonts w:ascii="Times New Roman" w:hAnsi="Times New Roman" w:eastAsia="Times New Roman" w:cs="Times New Roman"/>
          <w:sz w:val="24"/>
          <w:szCs w:val="24"/>
          <w:lang w:eastAsia="en-GB"/>
        </w:rPr>
      </w:pPr>
    </w:p>
    <w:p w14:paraId="48951822">
      <w:pPr>
        <w:spacing w:before="100" w:beforeAutospacing="1" w:after="100" w:afterAutospacing="1" w:line="360" w:lineRule="auto"/>
        <w:jc w:val="both"/>
        <w:rPr>
          <w:rFonts w:ascii="Times New Roman" w:hAnsi="Times New Roman" w:eastAsia="Times New Roman" w:cs="Times New Roman"/>
          <w:b/>
          <w:sz w:val="24"/>
          <w:szCs w:val="24"/>
          <w:lang w:eastAsia="en-GB"/>
        </w:rPr>
      </w:pPr>
      <w:r>
        <w:rPr>
          <w:rFonts w:ascii="Times New Roman" w:hAnsi="Times New Roman" w:eastAsia="Times New Roman" w:cs="Times New Roman"/>
          <w:b/>
          <w:sz w:val="24"/>
          <w:szCs w:val="24"/>
          <w:lang w:eastAsia="en-GB"/>
        </w:rPr>
        <w:t>6.Significance of the study</w:t>
      </w:r>
    </w:p>
    <w:p w14:paraId="300C9E01">
      <w:pPr>
        <w:pStyle w:val="9"/>
        <w:spacing w:line="360" w:lineRule="auto"/>
        <w:jc w:val="both"/>
      </w:pPr>
      <w:r>
        <w:rPr>
          <w:rStyle w:val="6"/>
          <w:b w:val="0"/>
        </w:rPr>
        <w:t>First</w:t>
      </w:r>
      <w:r>
        <w:t xml:space="preserve">, this study addresses a major gap in the literature by examining the experiences of regular teachers who provide counselling services without formal training. Existing studies have mainly focused on the availability and effectiveness of school counselling, with less attention to teacher experiences, role conflict, and professional challenges </w:t>
      </w:r>
      <w:r>
        <w:fldChar w:fldCharType="begin"/>
      </w:r>
      <w:r>
        <w:rPr>
          <w:lang w:val="en-US"/>
        </w:rPr>
        <w:instrText xml:space="preserve"> CITATION Bla20 \l 1033 </w:instrText>
      </w:r>
      <w:r>
        <w:fldChar w:fldCharType="separate"/>
      </w:r>
      <w:r>
        <w:rPr>
          <w:lang w:val="en-US"/>
        </w:rPr>
        <w:t>(Blake, 2020)</w:t>
      </w:r>
      <w:r>
        <w:fldChar w:fldCharType="end"/>
      </w:r>
    </w:p>
    <w:p w14:paraId="25733D90">
      <w:pPr>
        <w:pStyle w:val="9"/>
        <w:spacing w:line="360" w:lineRule="auto"/>
        <w:jc w:val="both"/>
      </w:pPr>
      <w:r>
        <w:rPr>
          <w:rStyle w:val="6"/>
          <w:b w:val="0"/>
        </w:rPr>
        <w:t>Second</w:t>
      </w:r>
      <w:r>
        <w:rPr>
          <w:b/>
        </w:rPr>
        <w:t>,</w:t>
      </w:r>
      <w:r>
        <w:t xml:space="preserve"> the study contributes empirical evidence on key issues such as teachers’ counselling self-efficacy, psychological burden, dual-role conflict, and psychosocial well-being. Research suggests that balancing teaching and counselling responsibilities can create stress, role ambiguity, and reduced effectiveness in both roles </w:t>
      </w:r>
      <w:r>
        <w:fldChar w:fldCharType="begin"/>
      </w:r>
      <w:r>
        <w:rPr>
          <w:lang w:val="en-US"/>
        </w:rPr>
        <w:instrText xml:space="preserve"> CITATION Muh20 \l 1033 </w:instrText>
      </w:r>
      <w:r>
        <w:fldChar w:fldCharType="separate"/>
      </w:r>
      <w:r>
        <w:rPr>
          <w:lang w:val="en-US"/>
        </w:rPr>
        <w:t>(Muhammed, 2020)</w:t>
      </w:r>
      <w:r>
        <w:fldChar w:fldCharType="end"/>
      </w:r>
    </w:p>
    <w:p w14:paraId="01EDD387">
      <w:pPr>
        <w:pStyle w:val="5"/>
        <w:spacing w:line="360" w:lineRule="auto"/>
        <w:jc w:val="both"/>
      </w:pPr>
      <w:r>
        <w:rPr>
          <w:rStyle w:val="6"/>
          <w:b w:val="0"/>
        </w:rPr>
        <w:t>Thirdly</w:t>
      </w:r>
      <w:r>
        <w:rPr>
          <w:b/>
        </w:rPr>
        <w:t>,</w:t>
      </w:r>
      <w:r>
        <w:t xml:space="preserve"> the findings will help inform the development of more effective and context-specific models for deploying school counselling services, challenging the institutional assumption that every teacher can naturally function as a counsellor. Counselling requires specialized training, ethical competence, and interpersonal skills beyond ordinary teaching practice </w:t>
      </w:r>
      <w:r>
        <w:fldChar w:fldCharType="begin"/>
      </w:r>
      <w:r>
        <w:rPr>
          <w:lang w:val="en-US"/>
        </w:rPr>
        <w:instrText xml:space="preserve"> CITATION Geo15 \l 1033 </w:instrText>
      </w:r>
      <w:r>
        <w:fldChar w:fldCharType="separate"/>
      </w:r>
      <w:r>
        <w:rPr>
          <w:lang w:val="en-US"/>
        </w:rPr>
        <w:t>(Georgiana, 2015)</w:t>
      </w:r>
      <w:r>
        <w:fldChar w:fldCharType="end"/>
      </w:r>
    </w:p>
    <w:p w14:paraId="64831555">
      <w:pPr>
        <w:pStyle w:val="5"/>
        <w:spacing w:line="360" w:lineRule="auto"/>
        <w:jc w:val="both"/>
      </w:pPr>
      <w:r>
        <w:rPr>
          <w:rStyle w:val="6"/>
          <w:b w:val="0"/>
        </w:rPr>
        <w:t>Lastly</w:t>
      </w:r>
      <w:r>
        <w:rPr>
          <w:b/>
        </w:rPr>
        <w:t>,</w:t>
      </w:r>
      <w:r>
        <w:t xml:space="preserve"> the study has practical value for educational stakeholders. It can guide school administrators in strengthening support systems and inform teacher training institutions on the need to integrate guidance and counselling into teacher education programmes, helping bridge the gap between policy and practice.</w:t>
      </w:r>
    </w:p>
    <w:p w14:paraId="22394A4A">
      <w:pPr>
        <w:pStyle w:val="5"/>
        <w:spacing w:line="360" w:lineRule="auto"/>
        <w:jc w:val="both"/>
      </w:pPr>
      <w:r>
        <w:t>Overall, this research is significant because it will critically examine whether teachers are counsellors by design or by default and provide evidence for improving teacher support, policy development, and student-centred counselling practices.</w:t>
      </w:r>
    </w:p>
    <w:p w14:paraId="649B65C7">
      <w:pPr>
        <w:spacing w:before="100" w:beforeAutospacing="1" w:after="100" w:afterAutospacing="1" w:line="360" w:lineRule="auto"/>
        <w:jc w:val="both"/>
        <w:rPr>
          <w:rFonts w:ascii="Times New Roman" w:hAnsi="Times New Roman" w:eastAsia="Times New Roman" w:cs="Times New Roman"/>
          <w:b/>
          <w:sz w:val="24"/>
          <w:szCs w:val="24"/>
          <w:lang w:eastAsia="en-GB"/>
        </w:rPr>
      </w:pPr>
    </w:p>
    <w:p w14:paraId="1EDDD505">
      <w:pPr>
        <w:spacing w:before="100" w:beforeAutospacing="1" w:after="100" w:afterAutospacing="1" w:line="360" w:lineRule="auto"/>
        <w:jc w:val="both"/>
        <w:outlineLvl w:val="0"/>
        <w:rPr>
          <w:rFonts w:ascii="Times New Roman" w:hAnsi="Times New Roman" w:eastAsia="Times New Roman" w:cs="Times New Roman"/>
          <w:b/>
          <w:bCs/>
          <w:kern w:val="36"/>
          <w:sz w:val="24"/>
          <w:szCs w:val="24"/>
          <w:lang w:eastAsia="en-GB"/>
        </w:rPr>
      </w:pPr>
    </w:p>
    <w:p w14:paraId="078C014F">
      <w:pPr>
        <w:spacing w:before="100" w:beforeAutospacing="1" w:after="100" w:afterAutospacing="1" w:line="360" w:lineRule="auto"/>
        <w:jc w:val="both"/>
        <w:outlineLvl w:val="0"/>
        <w:rPr>
          <w:rFonts w:ascii="Times New Roman" w:hAnsi="Times New Roman" w:eastAsia="Times New Roman" w:cs="Times New Roman"/>
          <w:b/>
          <w:bCs/>
          <w:kern w:val="36"/>
          <w:sz w:val="24"/>
          <w:szCs w:val="24"/>
          <w:lang w:eastAsia="en-GB"/>
        </w:rPr>
      </w:pPr>
    </w:p>
    <w:p w14:paraId="649FF287">
      <w:pPr>
        <w:spacing w:before="100" w:beforeAutospacing="1" w:after="100" w:afterAutospacing="1" w:line="360" w:lineRule="auto"/>
        <w:jc w:val="both"/>
        <w:outlineLvl w:val="0"/>
        <w:rPr>
          <w:rFonts w:ascii="Times New Roman" w:hAnsi="Times New Roman" w:eastAsia="Times New Roman" w:cs="Times New Roman"/>
          <w:b/>
          <w:bCs/>
          <w:kern w:val="36"/>
          <w:sz w:val="24"/>
          <w:szCs w:val="24"/>
          <w:lang w:eastAsia="en-GB"/>
        </w:rPr>
      </w:pPr>
    </w:p>
    <w:p w14:paraId="4DCB1364">
      <w:pPr>
        <w:spacing w:before="100" w:beforeAutospacing="1" w:after="100" w:afterAutospacing="1" w:line="360" w:lineRule="auto"/>
        <w:jc w:val="both"/>
        <w:outlineLvl w:val="0"/>
        <w:rPr>
          <w:rFonts w:ascii="Times New Roman" w:hAnsi="Times New Roman" w:eastAsia="Times New Roman" w:cs="Times New Roman"/>
          <w:b/>
          <w:bCs/>
          <w:kern w:val="36"/>
          <w:sz w:val="24"/>
          <w:szCs w:val="24"/>
          <w:lang w:eastAsia="en-GB"/>
        </w:rPr>
      </w:pPr>
      <w:r>
        <w:rPr>
          <w:rFonts w:ascii="Times New Roman" w:hAnsi="Times New Roman" w:eastAsia="Times New Roman" w:cs="Times New Roman"/>
          <w:b/>
          <w:bCs/>
          <w:kern w:val="36"/>
          <w:sz w:val="24"/>
          <w:szCs w:val="24"/>
          <w:lang w:eastAsia="en-GB"/>
        </w:rPr>
        <w:t>7. Literature Review and Theoretical Framework</w:t>
      </w:r>
    </w:p>
    <w:p w14:paraId="0DDA35D1">
      <w:pPr>
        <w:spacing w:before="100" w:beforeAutospacing="1" w:after="100" w:afterAutospacing="1" w:line="360" w:lineRule="auto"/>
        <w:jc w:val="both"/>
        <w:outlineLvl w:val="1"/>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7.1. The Professional Distinction Between Teaching and Counselling</w:t>
      </w:r>
    </w:p>
    <w:p w14:paraId="31A32132">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Teaching and counselling are distinct but overlapping professions. While both contribute to human development, they differ fundamentally in purpose, orientation, and professional practice. Teaching primarily focuses on knowledge transmission, skill development, and academic achievement</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Raj191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 xml:space="preserve"> (Rajagopalan, 2019)</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xml:space="preserve"> describes teaching as both an art and a science, combining cognitive theories with human relational engagement. Teachers operate within structured curricula and formal assessment systems. </w:t>
      </w:r>
    </w:p>
    <w:p w14:paraId="5C14F7D5">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Counselling, by contrast, is a helping profession focused on emotional, social, psychological, and career development. According to The American Counselling Association( ACA) counselling as a professional relationship designed to empower diverse individuals, families, and groups to achieve mental wellness, education, and career goals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Kap14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(Kaplan, 2014)</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w:t>
      </w:r>
    </w:p>
    <w:p w14:paraId="1511D567">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key distinction lies in role orientation. Teachers are directive and evaluative, while counsellors adopt client-centred approaches grounded in empathy, confidentiality, and active listening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Mer11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(Merlin, 2011)</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xml:space="preserve">. Additionally, counsellors undergo specialized training in psychological assessment, ethics, and therapeutic interventions, unlike teachers whose training </w:t>
      </w:r>
    </w:p>
    <w:p w14:paraId="569B3AA5">
      <w:pPr>
        <w:spacing w:before="100" w:beforeAutospacing="1" w:after="100" w:afterAutospacing="1" w:line="360" w:lineRule="auto"/>
        <w:jc w:val="both"/>
        <w:outlineLvl w:val="1"/>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7.2. Competency and Preparedness of Teachers for Counselling Roles</w:t>
      </w:r>
    </w:p>
    <w:p w14:paraId="685480A3">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professional competences of guidance and counselling teachers is an important aspect and affects the quality of guidance and counselling services provided by school counsellor. As a guidance and counselling teacher, it is important to acquire professional competencies to facilitate the needs of students at school, and to be able to provide best services in helping students</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Nad23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 xml:space="preserve"> (Nadhirah, 2023)</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xml:space="preserve">. </w:t>
      </w:r>
    </w:p>
    <w:p w14:paraId="34F60015">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Unfortunately, in  Malawi, teacher-counsellors often rely on personal experience rather than formal counselling frameworks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Mal98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(Maluwa-banda, 1998)</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.This creates gaps in addressing sensitive student issues effectively.</w:t>
      </w:r>
    </w:p>
    <w:p w14:paraId="08B6F6F7">
      <w:pPr>
        <w:spacing w:before="100" w:beforeAutospacing="1" w:after="100" w:afterAutospacing="1" w:line="360" w:lineRule="auto"/>
        <w:jc w:val="both"/>
        <w:outlineLvl w:val="1"/>
        <w:rPr>
          <w:rFonts w:ascii="Times New Roman" w:hAnsi="Times New Roman" w:eastAsia="Times New Roman" w:cs="Times New Roman"/>
          <w:b/>
          <w:bCs/>
          <w:sz w:val="24"/>
          <w:szCs w:val="24"/>
          <w:lang w:eastAsia="en-GB"/>
        </w:rPr>
      </w:pPr>
    </w:p>
    <w:p w14:paraId="17FA4730">
      <w:pPr>
        <w:spacing w:before="100" w:beforeAutospacing="1" w:after="100" w:afterAutospacing="1" w:line="360" w:lineRule="auto"/>
        <w:jc w:val="both"/>
        <w:outlineLvl w:val="1"/>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7.3. Psychological Burden on Regular Teachers</w:t>
      </w:r>
    </w:p>
    <w:p w14:paraId="3388E566">
      <w:pPr>
        <w:spacing w:before="100" w:beforeAutospacing="1" w:after="100" w:afterAutospacing="1"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Driven by their educational values, teachers committed to taking on counselling roles to support students, which had a dual effect on their wellbeing. While this responsibility could enhance job satisfaction through a greater sense of purpose and student connection, intense commitment to counselling often contributed to increased workload, emotional strain, and burnout </w:t>
      </w:r>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Bla20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(Blake, 2020)</w:t>
      </w:r>
      <w:r>
        <w:rPr>
          <w:rFonts w:ascii="Times New Roman" w:hAnsi="Times New Roman" w:cs="Times New Roman"/>
          <w:sz w:val="24"/>
          <w:szCs w:val="24"/>
        </w:rPr>
        <w:fldChar w:fldCharType="end"/>
      </w:r>
      <w:r>
        <w:rPr>
          <w:rFonts w:ascii="Times New Roman" w:hAnsi="Times New Roman" w:cs="Times New Roman"/>
          <w:sz w:val="24"/>
          <w:szCs w:val="24"/>
        </w:rPr>
        <w:t xml:space="preserve">. Despite differences in training backgrounds and assigned duties, teachers navigated a spectrum of counselling practices, often drawing on both </w:t>
      </w:r>
      <w:r>
        <w:rPr>
          <w:rStyle w:val="6"/>
          <w:rFonts w:ascii="Times New Roman" w:hAnsi="Times New Roman" w:cs="Times New Roman"/>
          <w:b w:val="0"/>
          <w:sz w:val="24"/>
          <w:szCs w:val="24"/>
        </w:rPr>
        <w:t>solution-focused</w:t>
      </w:r>
      <w:r>
        <w:rPr>
          <w:rFonts w:ascii="Times New Roman" w:hAnsi="Times New Roman" w:cs="Times New Roman"/>
          <w:b/>
          <w:sz w:val="24"/>
          <w:szCs w:val="24"/>
        </w:rPr>
        <w:t xml:space="preserve"> </w:t>
      </w:r>
      <w:r>
        <w:rPr>
          <w:rFonts w:ascii="Times New Roman" w:hAnsi="Times New Roman" w:cs="Times New Roman"/>
          <w:sz w:val="24"/>
          <w:szCs w:val="24"/>
        </w:rPr>
        <w:t xml:space="preserve">and </w:t>
      </w:r>
      <w:r>
        <w:rPr>
          <w:rStyle w:val="6"/>
          <w:rFonts w:ascii="Times New Roman" w:hAnsi="Times New Roman" w:cs="Times New Roman"/>
          <w:b w:val="0"/>
          <w:sz w:val="24"/>
          <w:szCs w:val="24"/>
        </w:rPr>
        <w:t>person-centred</w:t>
      </w:r>
      <w:r>
        <w:rPr>
          <w:rFonts w:ascii="Times New Roman" w:hAnsi="Times New Roman" w:cs="Times New Roman"/>
          <w:sz w:val="24"/>
          <w:szCs w:val="24"/>
        </w:rPr>
        <w:t xml:space="preserve"> approaches to address students’ psychosocial needs </w:t>
      </w:r>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Geo15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(Georgiana, 2015)</w:t>
      </w:r>
      <w:r>
        <w:rPr>
          <w:rFonts w:ascii="Times New Roman" w:hAnsi="Times New Roman" w:cs="Times New Roman"/>
          <w:sz w:val="24"/>
          <w:szCs w:val="24"/>
        </w:rPr>
        <w:fldChar w:fldCharType="end"/>
      </w:r>
    </w:p>
    <w:p w14:paraId="2334C253">
      <w:pPr>
        <w:spacing w:before="100" w:beforeAutospacing="1" w:after="100" w:afterAutospacing="1"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They grappled with role ambiguity and conflict, which led to confusion and a sense of powerlessness. Strong teacher-student relationships and fostering holistic student growth were key motivators, sustaining teachers’ commitment to both teaching and counselling roles.</w:t>
      </w:r>
    </w:p>
    <w:p w14:paraId="2F25EBCD">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There are a number of factors that lead to high stress on guidance and counselling teacher, which includes factors such as managing crisis situations, working overtime, low self-development opportunities, lack of experience in performing new assigned tasks, lack of support from the school’s top management and lack of appreciation despite performing well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KuJ20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(Ku Johari., 2020)</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w:t>
      </w:r>
    </w:p>
    <w:p w14:paraId="00A95C1E">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In Malawi, the addition of counselling roles to regular teachers increases role ambiguity and emotional strain, especially because of limited or zero institutional support.</w:t>
      </w:r>
    </w:p>
    <w:p w14:paraId="09C4952D">
      <w:pPr>
        <w:tabs>
          <w:tab w:val="left" w:pos="537"/>
        </w:tabs>
        <w:spacing w:before="100" w:beforeAutospacing="1" w:after="100" w:afterAutospacing="1" w:line="360" w:lineRule="auto"/>
        <w:jc w:val="both"/>
        <w:outlineLvl w:val="1"/>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7.4. Student Trust and Counselling Outcomes</w:t>
      </w:r>
    </w:p>
    <w:p w14:paraId="38BFA297">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Having a good relationship with a student who needs counselling is very important for a counselling journey. Without a trust alliance, therapy cannot be successful. T be truly effective, trust is the number one most important ingredient in a therapeutic relationship</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Joh20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 xml:space="preserve"> (Johnsen, 2020)</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A counsellor should play a vital role in establishing this trust as it is only a relationship built on trust that can enable the counsellor to help a client</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Joh20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 xml:space="preserve"> (Johnsen, 2020)</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w:t>
      </w:r>
    </w:p>
    <w:p w14:paraId="0118CEF6">
      <w:pPr>
        <w:spacing w:before="100" w:beforeAutospacing="1" w:after="100" w:afterAutospacing="1" w:line="360" w:lineRule="auto"/>
        <w:jc w:val="both"/>
        <w:rPr>
          <w:rFonts w:ascii="Times New Roman" w:hAnsi="Times New Roman" w:eastAsia="Times New Roman" w:cs="Times New Roman"/>
          <w:sz w:val="24"/>
          <w:szCs w:val="24"/>
          <w:lang w:eastAsia="en-GB"/>
        </w:rPr>
      </w:pPr>
    </w:p>
    <w:p w14:paraId="45AC5723">
      <w:pPr>
        <w:spacing w:before="100" w:beforeAutospacing="1" w:after="100" w:afterAutospacing="1" w:line="360" w:lineRule="auto"/>
        <w:jc w:val="both"/>
        <w:rPr>
          <w:rFonts w:ascii="Times New Roman" w:hAnsi="Times New Roman" w:eastAsia="Times New Roman" w:cs="Times New Roman"/>
          <w:sz w:val="24"/>
          <w:szCs w:val="24"/>
          <w:lang w:eastAsia="en-GB"/>
        </w:rPr>
      </w:pPr>
    </w:p>
    <w:p w14:paraId="2809CB48">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 When teachers expand their traditional professional roles to act as school counsellors, cultivating trust is essential and highly complex. Educators earn this critical trust by demonstrating deep empathy, professional commitment, and authentic motivation to support the student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Dem22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(Demerath., 2022)</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w:t>
      </w:r>
    </w:p>
    <w:p w14:paraId="46B917B3">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 Student trust significantly influences counselling effectiveness as trust enhances disclosure, and emotional safety. When counsellors are also teachers, students may fear breaches of confidentiality, weakening trust.</w:t>
      </w:r>
    </w:p>
    <w:p w14:paraId="591E6F92">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In Malawi, unclear role boundaries may compromise student confidence in teachers who take up school counselling roles, and this may affect counselling outcomes.</w:t>
      </w:r>
    </w:p>
    <w:p w14:paraId="6A14E60E">
      <w:pPr>
        <w:spacing w:before="100" w:beforeAutospacing="1" w:after="100" w:afterAutospacing="1" w:line="360" w:lineRule="auto"/>
        <w:jc w:val="both"/>
        <w:outlineLvl w:val="3"/>
        <w:rPr>
          <w:rFonts w:ascii="Times New Roman" w:hAnsi="Times New Roman" w:eastAsia="Times New Roman" w:cs="Times New Roman"/>
          <w:b/>
          <w:bCs/>
          <w:sz w:val="24"/>
          <w:szCs w:val="24"/>
          <w:lang w:eastAsia="en-GB"/>
        </w:rPr>
      </w:pPr>
    </w:p>
    <w:p w14:paraId="18DECF1A">
      <w:pPr>
        <w:spacing w:before="100" w:beforeAutospacing="1" w:after="100" w:afterAutospacing="1" w:line="360" w:lineRule="auto"/>
        <w:jc w:val="both"/>
        <w:outlineLvl w:val="3"/>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8. Theoretical Framework</w:t>
      </w:r>
    </w:p>
    <w:p w14:paraId="5ED0F889">
      <w:pPr>
        <w:spacing w:before="100" w:beforeAutospacing="1" w:after="100" w:afterAutospacing="1" w:line="360" w:lineRule="auto"/>
        <w:jc w:val="both"/>
        <w:rPr>
          <w:rFonts w:ascii="Times New Roman" w:hAnsi="Times New Roman" w:eastAsia="Times New Roman" w:cs="Times New Roman"/>
          <w:b/>
          <w:bCs/>
          <w:sz w:val="24"/>
          <w:szCs w:val="24"/>
          <w:lang w:eastAsia="en-GB"/>
        </w:rPr>
      </w:pPr>
      <w:r>
        <w:rPr>
          <w:rFonts w:ascii="Times New Roman" w:hAnsi="Times New Roman" w:eastAsia="Times New Roman" w:cs="Times New Roman"/>
          <w:sz w:val="24"/>
          <w:szCs w:val="24"/>
          <w:lang w:eastAsia="en-GB"/>
        </w:rPr>
        <w:t>This study is guided by Role Theory and Cognitive Dissonance Theory, which together provide a framework for understanding how untrained teacher-counsellors navigate competing professional expectations.</w:t>
      </w:r>
    </w:p>
    <w:p w14:paraId="52B29EB7">
      <w:pPr>
        <w:spacing w:before="100" w:beforeAutospacing="1" w:after="100" w:afterAutospacing="1" w:line="360" w:lineRule="auto"/>
        <w:jc w:val="both"/>
        <w:outlineLvl w:val="3"/>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8.1 Role Theory</w:t>
      </w:r>
    </w:p>
    <w:p w14:paraId="649CDB0A">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cs="Times New Roman"/>
          <w:sz w:val="24"/>
          <w:szCs w:val="24"/>
        </w:rPr>
        <w:t xml:space="preserve">The  Role Theory as initially operationalised by </w:t>
      </w:r>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Kah64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(Kahn, 1964)</w:t>
      </w:r>
      <w:r>
        <w:rPr>
          <w:rFonts w:ascii="Times New Roman" w:hAnsi="Times New Roman" w:cs="Times New Roman"/>
          <w:sz w:val="24"/>
          <w:szCs w:val="24"/>
        </w:rPr>
        <w:fldChar w:fldCharType="end"/>
      </w:r>
      <w:r>
        <w:rPr>
          <w:rFonts w:ascii="Times New Roman" w:hAnsi="Times New Roman" w:cs="Times New Roman"/>
          <w:sz w:val="24"/>
          <w:szCs w:val="24"/>
        </w:rPr>
        <w:t xml:space="preserve">,who introduced the concepts of role conflict, role ambiguity, and role overload. The theory was later synthesised by Biddle (1986), who conceptualised roles as socially constructed expectations attached to positions. Subsequent scholars such as </w:t>
      </w:r>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Str00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(Stryker, 2000)</w:t>
      </w:r>
      <w:r>
        <w:rPr>
          <w:rFonts w:ascii="Times New Roman" w:hAnsi="Times New Roman" w:cs="Times New Roman"/>
          <w:sz w:val="24"/>
          <w:szCs w:val="24"/>
        </w:rPr>
        <w:fldChar w:fldCharType="end"/>
      </w:r>
      <w:r>
        <w:rPr>
          <w:rFonts w:ascii="Times New Roman" w:hAnsi="Times New Roman" w:cs="Times New Roman"/>
          <w:sz w:val="24"/>
          <w:szCs w:val="24"/>
        </w:rPr>
        <w:t xml:space="preserve">, expanded the theory by linking roles to identity formation, while </w:t>
      </w:r>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Tur02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(Turner, 2002)</w:t>
      </w:r>
      <w:r>
        <w:rPr>
          <w:rFonts w:ascii="Times New Roman" w:hAnsi="Times New Roman" w:cs="Times New Roman"/>
          <w:sz w:val="24"/>
          <w:szCs w:val="24"/>
        </w:rPr>
        <w:fldChar w:fldCharType="end"/>
      </w:r>
      <w:r>
        <w:rPr>
          <w:rFonts w:ascii="Times New Roman" w:hAnsi="Times New Roman" w:cs="Times New Roman"/>
          <w:sz w:val="24"/>
          <w:szCs w:val="24"/>
        </w:rPr>
        <w:t xml:space="preserve">,emphasised role negotiation and adaptation. These developments provide a useful lens for understanding how teachers assigned counselling responsibilities experience professional conflict, identity strain, and workload pressure. </w:t>
      </w:r>
      <w:r>
        <w:rPr>
          <w:rFonts w:ascii="Times New Roman" w:hAnsi="Times New Roman" w:eastAsia="Times New Roman" w:cs="Times New Roman"/>
          <w:sz w:val="24"/>
          <w:szCs w:val="24"/>
          <w:lang w:eastAsia="en-GB"/>
        </w:rPr>
        <w:t xml:space="preserve">Teachers who play the role of counsellors in school settings perform both instructional and therapeutic functions. </w:t>
      </w:r>
    </w:p>
    <w:p w14:paraId="0BC0F8B9">
      <w:pPr>
        <w:spacing w:before="100" w:beforeAutospacing="1" w:after="100" w:afterAutospacing="1" w:line="360" w:lineRule="auto"/>
        <w:jc w:val="both"/>
        <w:rPr>
          <w:rFonts w:ascii="Times New Roman" w:hAnsi="Times New Roman" w:eastAsia="Times New Roman" w:cs="Times New Roman"/>
          <w:sz w:val="24"/>
          <w:szCs w:val="24"/>
          <w:lang w:eastAsia="en-GB"/>
        </w:rPr>
      </w:pPr>
    </w:p>
    <w:p w14:paraId="59289087">
      <w:pPr>
        <w:spacing w:before="100" w:beforeAutospacing="1" w:after="100" w:afterAutospacing="1" w:line="360" w:lineRule="auto"/>
        <w:jc w:val="both"/>
        <w:rPr>
          <w:rFonts w:ascii="Times New Roman" w:hAnsi="Times New Roman" w:eastAsia="Times New Roman" w:cs="Times New Roman"/>
          <w:sz w:val="24"/>
          <w:szCs w:val="24"/>
          <w:lang w:eastAsia="en-GB"/>
        </w:rPr>
      </w:pPr>
    </w:p>
    <w:p w14:paraId="1C47D291">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There are three dimensions of the Role Theory that are particularly relevant in this study:</w:t>
      </w:r>
    </w:p>
    <w:p w14:paraId="073365DF">
      <w:pPr>
        <w:spacing w:line="360" w:lineRule="auto"/>
        <w:jc w:val="both"/>
        <w:rPr>
          <w:rFonts w:ascii="Times New Roman" w:hAnsi="Times New Roman" w:eastAsia="Times New Roman" w:cs="Times New Roman"/>
          <w:bCs/>
          <w:sz w:val="24"/>
          <w:szCs w:val="24"/>
          <w:lang w:eastAsia="en-GB"/>
        </w:rPr>
      </w:pPr>
      <w:r>
        <w:rPr>
          <w:rFonts w:ascii="Times New Roman" w:hAnsi="Times New Roman" w:eastAsia="Times New Roman" w:cs="Times New Roman"/>
          <w:b/>
          <w:bCs/>
          <w:sz w:val="24"/>
          <w:szCs w:val="24"/>
          <w:lang w:eastAsia="en-GB"/>
        </w:rPr>
        <w:t xml:space="preserve">Role Conflict-  </w:t>
      </w:r>
      <w:r>
        <w:rPr>
          <w:rFonts w:ascii="Times New Roman" w:hAnsi="Times New Roman" w:eastAsia="Times New Roman" w:cs="Times New Roman"/>
          <w:bCs/>
          <w:sz w:val="24"/>
          <w:szCs w:val="24"/>
          <w:lang w:eastAsia="en-GB"/>
        </w:rPr>
        <w:t>This refers to the complex psychological and systematic friction that occurs when an individual simultaneously holds on two distinct social script</w:t>
      </w:r>
      <w:r>
        <w:rPr>
          <w:rFonts w:ascii="Times New Roman" w:hAnsi="Times New Roman" w:eastAsia="Times New Roman" w:cs="Times New Roman"/>
          <w:b/>
          <w:bCs/>
          <w:sz w:val="24"/>
          <w:szCs w:val="24"/>
          <w:lang w:eastAsia="en-GB"/>
        </w:rPr>
        <w:t xml:space="preserve">s. </w:t>
      </w:r>
      <w:r>
        <w:rPr>
          <w:rFonts w:ascii="Times New Roman" w:hAnsi="Times New Roman" w:eastAsia="Times New Roman" w:cs="Times New Roman"/>
          <w:bCs/>
          <w:sz w:val="24"/>
          <w:szCs w:val="24"/>
          <w:lang w:eastAsia="en-GB"/>
        </w:rPr>
        <w:t>This triggers role conflict due to the structural contradiction between the roles.</w:t>
      </w:r>
    </w:p>
    <w:p w14:paraId="77182FD2">
      <w:pPr>
        <w:spacing w:line="360" w:lineRule="auto"/>
        <w:jc w:val="both"/>
        <w:rPr>
          <w:rFonts w:ascii="Times New Roman" w:hAnsi="Times New Roman" w:eastAsia="Times New Roman" w:cs="Times New Roman"/>
          <w:sz w:val="24"/>
          <w:szCs w:val="24"/>
          <w:shd w:val="clear" w:color="auto" w:fill="FFFFFF"/>
          <w:lang w:eastAsia="en-GB"/>
        </w:rPr>
      </w:pPr>
      <w:r>
        <w:rPr>
          <w:rFonts w:ascii="Times New Roman" w:hAnsi="Times New Roman" w:eastAsia="Times New Roman" w:cs="Times New Roman"/>
          <w:sz w:val="24"/>
          <w:szCs w:val="24"/>
          <w:lang w:eastAsia="en-GB"/>
        </w:rPr>
        <w:t xml:space="preserve">For teachers doubling as counsellors, classroom discipline may conflict with the trust-building required in counselling relationships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Mal98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(Maluwa-banda, 1998)</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This conflict arises when an individual faces multiple, opposing expectations from different aspects of their role.</w:t>
      </w:r>
      <w:r>
        <w:rPr>
          <w:rFonts w:ascii="Times New Roman" w:hAnsi="Times New Roman" w:eastAsia="Times New Roman" w:cs="Times New Roman"/>
          <w:sz w:val="24"/>
          <w:szCs w:val="24"/>
          <w:shd w:val="clear" w:color="auto" w:fill="FFFFFF"/>
          <w:lang w:eastAsia="en-GB"/>
        </w:rPr>
        <w:t xml:space="preserve"> </w:t>
      </w:r>
    </w:p>
    <w:p w14:paraId="69C58617">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Role Ambiguity</w:t>
      </w:r>
      <w:r>
        <w:rPr>
          <w:rFonts w:ascii="Times New Roman" w:hAnsi="Times New Roman" w:eastAsia="Times New Roman" w:cs="Times New Roman"/>
          <w:sz w:val="24"/>
          <w:szCs w:val="24"/>
          <w:lang w:eastAsia="en-GB"/>
        </w:rPr>
        <w:t xml:space="preserve"> -Role ambiguity arises when there are unclear expectations regarding a role. In Malawi, there are often no formal guidelines outlining how teacher-counsellors should manage sensitive psychosocial cases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Nyi20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(Nyirenda, 2020)</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w:t>
      </w:r>
    </w:p>
    <w:p w14:paraId="33BE808E">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Role Overload</w:t>
      </w:r>
      <w:r>
        <w:rPr>
          <w:rFonts w:ascii="Times New Roman" w:hAnsi="Times New Roman" w:eastAsia="Times New Roman" w:cs="Times New Roman"/>
          <w:sz w:val="24"/>
          <w:szCs w:val="24"/>
          <w:lang w:eastAsia="en-GB"/>
        </w:rPr>
        <w:t xml:space="preserve"> -Role overload occurs when multiple responsibilities exceed a person’s capacity. Heavy teaching loads, administrative tasks, and counselling duties increase the likelihood of stress and burnout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Hak23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(Hako, 2023)</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xml:space="preserve">. </w:t>
      </w:r>
    </w:p>
    <w:p w14:paraId="1AE19A20">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Role Theory therefore helps explain the structural and interpersonal pressures faced by teachers who take up the role of school counsellors.</w:t>
      </w:r>
    </w:p>
    <w:p w14:paraId="5DE41868">
      <w:pPr>
        <w:spacing w:before="100" w:beforeAutospacing="1" w:after="100" w:afterAutospacing="1" w:line="360" w:lineRule="auto"/>
        <w:jc w:val="both"/>
        <w:outlineLvl w:val="3"/>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8.2. Cognitive Dissonance Theory</w:t>
      </w:r>
    </w:p>
    <w:p w14:paraId="45569D92">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Cognitive Dissonance Theory, originally developed by </w:t>
      </w:r>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Fes57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(Festinger, 1957)</w:t>
      </w:r>
      <w:r>
        <w:rPr>
          <w:rFonts w:ascii="Times New Roman" w:hAnsi="Times New Roman" w:cs="Times New Roman"/>
          <w:sz w:val="24"/>
          <w:szCs w:val="24"/>
        </w:rPr>
        <w:fldChar w:fldCharType="end"/>
      </w:r>
      <w:r>
        <w:rPr>
          <w:rFonts w:ascii="Times New Roman" w:hAnsi="Times New Roman" w:cs="Times New Roman"/>
          <w:sz w:val="24"/>
          <w:szCs w:val="24"/>
        </w:rPr>
        <w:t xml:space="preserve">, explains the psychological discomfort experienced when individuals hold conflicting beliefs, roles, or behaviours. The theory has since been expanded by </w:t>
      </w:r>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Aro69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(Aronson, 1969)</w:t>
      </w:r>
      <w:r>
        <w:rPr>
          <w:rFonts w:ascii="Times New Roman" w:hAnsi="Times New Roman" w:cs="Times New Roman"/>
          <w:sz w:val="24"/>
          <w:szCs w:val="24"/>
        </w:rPr>
        <w:fldChar w:fldCharType="end"/>
      </w:r>
      <w:r>
        <w:rPr>
          <w:rFonts w:ascii="Times New Roman" w:hAnsi="Times New Roman" w:cs="Times New Roman"/>
          <w:sz w:val="24"/>
          <w:szCs w:val="24"/>
        </w:rPr>
        <w:t xml:space="preserve">, who linked dissonance to self-concept, </w:t>
      </w:r>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Coo07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(Cooper, 2007)</w:t>
      </w:r>
      <w:r>
        <w:rPr>
          <w:rFonts w:ascii="Times New Roman" w:hAnsi="Times New Roman" w:cs="Times New Roman"/>
          <w:sz w:val="24"/>
          <w:szCs w:val="24"/>
        </w:rPr>
        <w:fldChar w:fldCharType="end"/>
      </w:r>
      <w:r>
        <w:rPr>
          <w:rFonts w:ascii="Times New Roman" w:hAnsi="Times New Roman" w:cs="Times New Roman"/>
          <w:sz w:val="24"/>
          <w:szCs w:val="24"/>
        </w:rPr>
        <w:t xml:space="preserve">who contextualised its modern applications, and </w:t>
      </w:r>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Har19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(Harmon-Jones, 2019)</w:t>
      </w:r>
      <w:r>
        <w:rPr>
          <w:rFonts w:ascii="Times New Roman" w:hAnsi="Times New Roman" w:cs="Times New Roman"/>
          <w:sz w:val="24"/>
          <w:szCs w:val="24"/>
        </w:rPr>
        <w:fldChar w:fldCharType="end"/>
      </w:r>
      <w:r>
        <w:rPr>
          <w:rFonts w:ascii="Times New Roman" w:hAnsi="Times New Roman" w:cs="Times New Roman"/>
          <w:sz w:val="24"/>
          <w:szCs w:val="24"/>
        </w:rPr>
        <w:t>,who emphasised its role in motivating behavioural change. In this study, the theory helps 8xplain the internal conflict experienced by teacher-counsellors who are expected to perform therapeutic roles without adequate professional preparation.</w:t>
      </w:r>
    </w:p>
    <w:p w14:paraId="0DF49934">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 </w:t>
      </w:r>
    </w:p>
    <w:p w14:paraId="7002D591">
      <w:pPr>
        <w:spacing w:before="100" w:beforeAutospacing="1" w:after="100" w:afterAutospacing="1" w:line="360" w:lineRule="auto"/>
        <w:jc w:val="both"/>
        <w:rPr>
          <w:rFonts w:ascii="Times New Roman" w:hAnsi="Times New Roman" w:eastAsia="Times New Roman" w:cs="Times New Roman"/>
          <w:sz w:val="24"/>
          <w:szCs w:val="24"/>
          <w:lang w:eastAsia="en-GB"/>
        </w:rPr>
      </w:pPr>
    </w:p>
    <w:p w14:paraId="3B2F4DC2">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For untrained teacher-counsellors, dissonance may arise when they are expected to provide psychological support but feel unqualified. Secondly, when teachers encounter severe student trauma beyond their training. Therefore, they must balance authority and empathy simultaneously.</w:t>
      </w:r>
    </w:p>
    <w:p w14:paraId="0D1EEFA6">
      <w:pPr>
        <w:keepNext/>
        <w:keepLines/>
        <w:spacing w:before="240" w:after="0" w:line="360" w:lineRule="auto"/>
        <w:jc w:val="both"/>
        <w:outlineLvl w:val="0"/>
        <w:rPr>
          <w:rFonts w:ascii="Times New Roman" w:hAnsi="Times New Roman" w:eastAsia="Times New Roman" w:cs="Times New Roman"/>
          <w:bCs/>
          <w:kern w:val="36"/>
          <w:sz w:val="24"/>
          <w:szCs w:val="24"/>
          <w:lang w:eastAsia="en-GB"/>
        </w:rPr>
      </w:pPr>
      <w:r>
        <w:rPr>
          <w:rFonts w:ascii="Times New Roman" w:hAnsi="Times New Roman" w:eastAsia="Times New Roman" w:cs="Times New Roman"/>
          <w:sz w:val="24"/>
          <w:szCs w:val="24"/>
          <w:lang w:eastAsia="en-GB"/>
        </w:rPr>
        <w:t xml:space="preserve">Research has shown prolonged dissonance can result in avoidance, emotional exhaustion, and decreased professional effectiveness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Mas16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(Maslach, 2016)</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.This theory is useful in explaining the internal psychological burden experienced by teacher-counsellors.</w:t>
      </w:r>
      <w:r>
        <w:rPr>
          <w:rFonts w:ascii="Times New Roman" w:hAnsi="Times New Roman" w:eastAsia="Times New Roman" w:cs="Times New Roman"/>
          <w:bCs/>
          <w:kern w:val="36"/>
          <w:sz w:val="24"/>
          <w:szCs w:val="24"/>
          <w:lang w:eastAsia="en-GB"/>
        </w:rPr>
        <w:t xml:space="preserve"> </w:t>
      </w:r>
    </w:p>
    <w:p w14:paraId="4493BF7B">
      <w:pPr>
        <w:spacing w:before="100" w:beforeAutospacing="1" w:after="100" w:afterAutospacing="1" w:line="360" w:lineRule="auto"/>
        <w:jc w:val="both"/>
        <w:outlineLvl w:val="1"/>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9. Research Design and Methodology</w:t>
      </w:r>
    </w:p>
    <w:p w14:paraId="678A2D94">
      <w:pPr>
        <w:spacing w:before="100" w:beforeAutospacing="1" w:after="100" w:afterAutospacing="1" w:line="360" w:lineRule="auto"/>
        <w:jc w:val="both"/>
        <w:outlineLvl w:val="1"/>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Research Paradigm</w:t>
      </w:r>
    </w:p>
    <w:p w14:paraId="797AA122">
      <w:pPr>
        <w:shd w:val="clear" w:color="auto" w:fill="FFFFFF"/>
        <w:spacing w:before="240" w:after="24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This study will adopt a </w:t>
      </w:r>
      <w:r>
        <w:rPr>
          <w:rFonts w:ascii="Times New Roman" w:hAnsi="Times New Roman" w:eastAsia="Times New Roman" w:cs="Times New Roman"/>
          <w:bCs/>
          <w:sz w:val="24"/>
          <w:szCs w:val="24"/>
          <w:lang w:eastAsia="en-GB"/>
        </w:rPr>
        <w:t>qualitative research approach</w:t>
      </w:r>
      <w:r>
        <w:rPr>
          <w:rFonts w:ascii="Times New Roman" w:hAnsi="Times New Roman" w:eastAsia="Times New Roman" w:cs="Times New Roman"/>
          <w:sz w:val="24"/>
          <w:szCs w:val="24"/>
          <w:lang w:eastAsia="en-GB"/>
        </w:rPr>
        <w:t xml:space="preserve">. A qualitative approach is appropriate because the study seeks to explore participants’ experiences, and interpretations regarding teachers’ counselling roles. </w:t>
      </w:r>
    </w:p>
    <w:p w14:paraId="1997BD07">
      <w:pPr>
        <w:shd w:val="clear" w:color="auto" w:fill="FFFFFF"/>
        <w:spacing w:before="240" w:after="240" w:line="360" w:lineRule="auto"/>
        <w:jc w:val="both"/>
        <w:rPr>
          <w:rFonts w:ascii="Times New Roman" w:hAnsi="Times New Roman" w:eastAsia="Times New Roman" w:cs="Times New Roman"/>
          <w:b/>
          <w:sz w:val="24"/>
          <w:szCs w:val="24"/>
          <w:lang w:eastAsia="en-GB"/>
        </w:rPr>
      </w:pPr>
      <w:r>
        <w:rPr>
          <w:rFonts w:ascii="Times New Roman" w:hAnsi="Times New Roman" w:eastAsia="Times New Roman" w:cs="Times New Roman"/>
          <w:sz w:val="24"/>
          <w:szCs w:val="24"/>
          <w:lang w:eastAsia="en-GB"/>
        </w:rPr>
        <w:t xml:space="preserve">A qualitative research allows for deeper understanding of social phenomena within their natural settings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b/>
          <w:sz w:val="24"/>
          <w:szCs w:val="24"/>
          <w:lang w:val="en-US" w:eastAsia="en-GB"/>
        </w:rPr>
        <w:instrText xml:space="preserve"> CITATION Cre182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(Cresswell, 2018)</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b/>
          <w:sz w:val="24"/>
          <w:szCs w:val="24"/>
          <w:lang w:eastAsia="en-GB"/>
        </w:rPr>
        <w:t>.</w:t>
      </w:r>
      <w:r>
        <w:rPr>
          <w:rFonts w:ascii="Times New Roman" w:hAnsi="Times New Roman" w:eastAsia="Times New Roman" w:cs="Times New Roman"/>
          <w:sz w:val="24"/>
          <w:szCs w:val="24"/>
          <w:lang w:eastAsia="en-GB"/>
        </w:rPr>
        <w:t xml:space="preserve"> Qualitative methodology is appropriate when the research aim is to understand how people interpret their experiences, how they construct meaning, and how context influences their actions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Den18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(Denzin, 2018)</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xml:space="preserve">. Unlike quantitative methods that rely on standardised instruments and statistical generalisation, qualitative methodology allows the researcher to gather detailed, narrative data through interviews, observations, and document analysis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Mer16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(Merrium, 2016)</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These methods are particularly suited to investigating the institutional assumption that every teacher can be a counsellor in secondary schools in Malawi, where untrained mainstream teachers take up counselling roles.</w:t>
      </w:r>
    </w:p>
    <w:p w14:paraId="4227D264">
      <w:pPr>
        <w:spacing w:before="100" w:beforeAutospacing="1" w:after="100" w:afterAutospacing="1" w:line="360" w:lineRule="auto"/>
        <w:jc w:val="both"/>
        <w:outlineLvl w:val="1"/>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choice of this approach is informed by the nature of the study, which aims to critically examine how teachers understand and perform counselling roles, the challenges they encounter, and how these roles are experienced by students and school leaders.</w:t>
      </w:r>
    </w:p>
    <w:p w14:paraId="6E1585F9">
      <w:pPr>
        <w:spacing w:before="100" w:beforeAutospacing="1" w:after="100" w:afterAutospacing="1" w:line="360" w:lineRule="auto"/>
        <w:jc w:val="both"/>
        <w:outlineLvl w:val="1"/>
        <w:rPr>
          <w:rFonts w:ascii="Times New Roman" w:hAnsi="Times New Roman" w:eastAsia="Times New Roman" w:cs="Times New Roman"/>
          <w:b/>
          <w:sz w:val="24"/>
          <w:szCs w:val="24"/>
          <w:lang w:eastAsia="en-GB"/>
        </w:rPr>
      </w:pPr>
    </w:p>
    <w:p w14:paraId="1A1D01A0">
      <w:pPr>
        <w:spacing w:before="100" w:beforeAutospacing="1" w:after="100" w:afterAutospacing="1" w:line="360" w:lineRule="auto"/>
        <w:jc w:val="both"/>
        <w:outlineLvl w:val="1"/>
        <w:rPr>
          <w:rFonts w:ascii="Times New Roman" w:hAnsi="Times New Roman" w:eastAsia="Times New Roman" w:cs="Times New Roman"/>
          <w:b/>
          <w:sz w:val="24"/>
          <w:szCs w:val="24"/>
          <w:lang w:eastAsia="en-GB"/>
        </w:rPr>
      </w:pPr>
    </w:p>
    <w:p w14:paraId="7E23A72C">
      <w:pPr>
        <w:spacing w:before="100" w:beforeAutospacing="1" w:after="100" w:afterAutospacing="1" w:line="360" w:lineRule="auto"/>
        <w:jc w:val="both"/>
        <w:outlineLvl w:val="1"/>
        <w:rPr>
          <w:rFonts w:ascii="Times New Roman" w:hAnsi="Times New Roman" w:eastAsia="Times New Roman" w:cs="Times New Roman"/>
          <w:b/>
          <w:bCs/>
          <w:sz w:val="24"/>
          <w:szCs w:val="24"/>
          <w:lang w:eastAsia="en-GB"/>
        </w:rPr>
      </w:pPr>
      <w:r>
        <w:rPr>
          <w:rFonts w:ascii="Times New Roman" w:hAnsi="Times New Roman" w:eastAsia="Times New Roman" w:cs="Times New Roman"/>
          <w:b/>
          <w:sz w:val="24"/>
          <w:szCs w:val="24"/>
          <w:lang w:eastAsia="en-GB"/>
        </w:rPr>
        <w:t>10.</w:t>
      </w:r>
      <w:r>
        <w:rPr>
          <w:rFonts w:ascii="Times New Roman" w:hAnsi="Times New Roman" w:eastAsia="Times New Roman" w:cs="Times New Roman"/>
          <w:b/>
          <w:bCs/>
          <w:sz w:val="24"/>
          <w:szCs w:val="24"/>
          <w:lang w:eastAsia="en-GB"/>
        </w:rPr>
        <w:t xml:space="preserve"> Research Design</w:t>
      </w:r>
    </w:p>
    <w:p w14:paraId="3D001615">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cs="Times New Roman"/>
          <w:sz w:val="24"/>
          <w:szCs w:val="24"/>
        </w:rPr>
        <w:t xml:space="preserve">A multiple case study design will be employed </w:t>
      </w:r>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Yin181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(Yin, 2018)</w:t>
      </w:r>
      <w:r>
        <w:rPr>
          <w:rFonts w:ascii="Times New Roman" w:hAnsi="Times New Roman" w:cs="Times New Roman"/>
          <w:sz w:val="24"/>
          <w:szCs w:val="24"/>
        </w:rPr>
        <w:fldChar w:fldCharType="end"/>
      </w:r>
      <w:r>
        <w:rPr>
          <w:rFonts w:ascii="Times New Roman" w:hAnsi="Times New Roman" w:cs="Times New Roman"/>
          <w:sz w:val="24"/>
          <w:szCs w:val="24"/>
        </w:rPr>
        <w:t xml:space="preserve">.Each selected secondary school will constitute a single case, allowing for within-case and cross-case analysis. </w:t>
      </w:r>
      <w:r>
        <w:rPr>
          <w:rFonts w:ascii="Times New Roman" w:hAnsi="Times New Roman" w:eastAsia="Times New Roman" w:cs="Times New Roman"/>
          <w:sz w:val="24"/>
          <w:szCs w:val="24"/>
          <w:lang w:eastAsia="en-GB"/>
        </w:rPr>
        <w:t>The case study design is suitable because it allows the researcher to examine teacher counselling practices in specific school settings and compare experiences across schools.</w:t>
      </w:r>
    </w:p>
    <w:p w14:paraId="70EA9649">
      <w:pPr>
        <w:spacing w:before="100" w:beforeAutospacing="1" w:after="100" w:afterAutospacing="1" w:line="360" w:lineRule="auto"/>
        <w:jc w:val="both"/>
        <w:rPr>
          <w:rFonts w:ascii="Times New Roman" w:hAnsi="Times New Roman" w:eastAsia="Times New Roman" w:cs="Times New Roman"/>
          <w:b/>
          <w:bCs/>
          <w:sz w:val="24"/>
          <w:szCs w:val="24"/>
          <w:lang w:eastAsia="en-GB"/>
        </w:rPr>
      </w:pPr>
      <w:r>
        <w:rPr>
          <w:rFonts w:ascii="Times New Roman" w:hAnsi="Times New Roman" w:eastAsia="Times New Roman" w:cs="Times New Roman"/>
          <w:sz w:val="24"/>
          <w:szCs w:val="24"/>
          <w:lang w:eastAsia="en-GB"/>
        </w:rPr>
        <w:t>Using multiple cases will strengthen the credibility of the findings by allowing cross-case analysis and broader contextual understanding.</w:t>
      </w:r>
    </w:p>
    <w:p w14:paraId="401481F8">
      <w:pPr>
        <w:spacing w:before="100" w:beforeAutospacing="1" w:after="100" w:afterAutospacing="1" w:line="360" w:lineRule="auto"/>
        <w:jc w:val="both"/>
        <w:outlineLvl w:val="1"/>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Study Area</w:t>
      </w:r>
    </w:p>
    <w:p w14:paraId="4588FEF3">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study will be conducted in selected public secondary schools in Blantyre. Blantyre is chosen because it has a diverse range of secondary schools, including urban and peri-urban schools, which may present varied counselling experiences and challenges. </w:t>
      </w:r>
    </w:p>
    <w:p w14:paraId="65DEC87E">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district also represents a context where learner psychosocial issues and teacher shortages remain significant concerns.</w:t>
      </w:r>
    </w:p>
    <w:p w14:paraId="3D287E58">
      <w:pPr>
        <w:spacing w:before="100" w:beforeAutospacing="1" w:after="100" w:afterAutospacing="1" w:line="360" w:lineRule="auto"/>
        <w:jc w:val="both"/>
        <w:outlineLvl w:val="1"/>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Target Population</w:t>
      </w:r>
    </w:p>
    <w:p w14:paraId="091D71F0">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target population will include participants directly involved in school guidance and counselling systems. These will include teachers, teachers taking the counsellor’s role, head teachers and students.</w:t>
      </w:r>
    </w:p>
    <w:p w14:paraId="4D372544">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These participants are selected because they provide different perspectives on teacher-led counselling. Teachers provide insights into role performance and competence, head teachers provide institutional perspectives, and students provide user experiences of counselling services.</w:t>
      </w:r>
    </w:p>
    <w:tbl>
      <w:tblPr>
        <w:tblStyle w:val="4"/>
        <w:tblW w:w="0" w:type="auto"/>
        <w:tblCellSpacing w:w="15" w:type="dxa"/>
        <w:tblInd w:w="0" w:type="dxa"/>
        <w:tblLayout w:type="autofit"/>
        <w:tblCellMar>
          <w:top w:w="0" w:type="dxa"/>
          <w:left w:w="108" w:type="dxa"/>
          <w:bottom w:w="0" w:type="dxa"/>
          <w:right w:w="108" w:type="dxa"/>
        </w:tblCellMar>
      </w:tblPr>
      <w:tblGrid>
        <w:gridCol w:w="9369"/>
        <w:gridCol w:w="81"/>
      </w:tblGrid>
      <w:tr w14:paraId="1C707A0B">
        <w:tblPrEx>
          <w:tblCellMar>
            <w:top w:w="0" w:type="dxa"/>
            <w:left w:w="108" w:type="dxa"/>
            <w:bottom w:w="0" w:type="dxa"/>
            <w:right w:w="108" w:type="dxa"/>
          </w:tblCellMar>
        </w:tblPrEx>
        <w:trPr>
          <w:tblHeader/>
          <w:tblCellSpacing w:w="15" w:type="dxa"/>
        </w:trPr>
        <w:tc>
          <w:tcPr>
            <w:tcW w:w="0" w:type="auto"/>
            <w:noWrap w:val="0"/>
            <w:tcMar>
              <w:top w:w="15" w:type="dxa"/>
              <w:left w:w="15" w:type="dxa"/>
              <w:bottom w:w="15" w:type="dxa"/>
              <w:right w:w="15" w:type="dxa"/>
            </w:tcMar>
            <w:vAlign w:val="center"/>
          </w:tcPr>
          <w:p w14:paraId="55A5F9E6">
            <w:pPr>
              <w:spacing w:after="0" w:line="360" w:lineRule="auto"/>
              <w:jc w:val="both"/>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Sampling Technique and Sample Size</w:t>
            </w:r>
          </w:p>
          <w:p w14:paraId="61942366">
            <w:pPr>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study will use </w:t>
            </w:r>
            <w:r>
              <w:rPr>
                <w:rFonts w:ascii="Times New Roman" w:hAnsi="Times New Roman" w:eastAsia="Times New Roman" w:cs="Times New Roman"/>
                <w:bCs/>
                <w:sz w:val="24"/>
                <w:szCs w:val="24"/>
                <w:lang w:eastAsia="en-GB"/>
              </w:rPr>
              <w:t>purposive sampling</w:t>
            </w:r>
            <w:r>
              <w:rPr>
                <w:rFonts w:ascii="Times New Roman" w:hAnsi="Times New Roman" w:eastAsia="Times New Roman" w:cs="Times New Roman"/>
                <w:sz w:val="24"/>
                <w:szCs w:val="24"/>
                <w:lang w:eastAsia="en-GB"/>
              </w:rPr>
              <w:t xml:space="preserve"> to select participants who have direct experience with school guidance and counselling. Purposive sampling is appropriate because it enables the researcher to select information-rich participants relevant to the research problem (Patton, 2015). </w:t>
            </w:r>
          </w:p>
          <w:p w14:paraId="15519549">
            <w:pPr>
              <w:spacing w:after="0" w:line="360" w:lineRule="auto"/>
              <w:jc w:val="both"/>
              <w:rPr>
                <w:rFonts w:ascii="Times New Roman" w:hAnsi="Times New Roman" w:eastAsia="Times New Roman" w:cs="Times New Roman"/>
                <w:sz w:val="24"/>
                <w:szCs w:val="24"/>
                <w:lang w:eastAsia="en-GB"/>
              </w:rPr>
            </w:pPr>
          </w:p>
          <w:p w14:paraId="06948FFB">
            <w:pPr>
              <w:spacing w:after="0" w:line="360" w:lineRule="auto"/>
              <w:jc w:val="both"/>
              <w:rPr>
                <w:rFonts w:ascii="Times New Roman" w:hAnsi="Times New Roman" w:eastAsia="Times New Roman" w:cs="Times New Roman"/>
                <w:bCs/>
                <w:sz w:val="24"/>
                <w:szCs w:val="24"/>
                <w:lang w:eastAsia="en-GB"/>
              </w:rPr>
            </w:pPr>
            <w:r>
              <w:rPr>
                <w:rFonts w:ascii="Times New Roman" w:hAnsi="Times New Roman" w:eastAsia="Times New Roman" w:cs="Times New Roman"/>
                <w:sz w:val="24"/>
                <w:szCs w:val="24"/>
                <w:lang w:eastAsia="en-GB"/>
              </w:rPr>
              <w:t>The proposed sample will include: 20 teachers, 10 counsellors, 5 head teachers and 30 students (40 respondents). Students will be selected based on their experience with school counselling services.</w:t>
            </w:r>
          </w:p>
        </w:tc>
        <w:tc>
          <w:tcPr>
            <w:tcW w:w="0" w:type="auto"/>
            <w:noWrap w:val="0"/>
            <w:tcMar>
              <w:top w:w="15" w:type="dxa"/>
              <w:left w:w="15" w:type="dxa"/>
              <w:bottom w:w="15" w:type="dxa"/>
              <w:right w:w="15" w:type="dxa"/>
            </w:tcMar>
            <w:vAlign w:val="center"/>
          </w:tcPr>
          <w:p w14:paraId="648AD694">
            <w:pPr>
              <w:spacing w:after="0" w:line="360" w:lineRule="auto"/>
              <w:jc w:val="both"/>
              <w:rPr>
                <w:rFonts w:ascii="Times New Roman" w:hAnsi="Times New Roman" w:eastAsia="Times New Roman" w:cs="Times New Roman"/>
                <w:bCs/>
                <w:sz w:val="24"/>
                <w:szCs w:val="24"/>
                <w:lang w:eastAsia="en-GB"/>
              </w:rPr>
            </w:pPr>
          </w:p>
        </w:tc>
      </w:tr>
    </w:tbl>
    <w:p w14:paraId="4E5F603A">
      <w:pPr>
        <w:spacing w:before="100" w:beforeAutospacing="1" w:after="100" w:afterAutospacing="1" w:line="360" w:lineRule="auto"/>
        <w:jc w:val="both"/>
        <w:outlineLvl w:val="1"/>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11. Data Collection Methods</w:t>
      </w:r>
    </w:p>
    <w:p w14:paraId="4E826080">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To ensure rich and triangulated data, the study will use three methods:</w:t>
      </w:r>
    </w:p>
    <w:p w14:paraId="63B00197">
      <w:pPr>
        <w:spacing w:before="100" w:beforeAutospacing="1" w:after="100" w:afterAutospacing="1" w:line="360" w:lineRule="auto"/>
        <w:jc w:val="both"/>
        <w:outlineLvl w:val="2"/>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Semi-Structured Interviews</w:t>
      </w:r>
    </w:p>
    <w:p w14:paraId="2E2351DF">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Semi-structured interviews will be conducted with teachers, teacher-counsellors, and head teachers. This method allows flexibility and depth while maintaining focus on the study objectives.</w:t>
      </w:r>
    </w:p>
    <w:p w14:paraId="38CDF796">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interviews will explore teachers understanding of counselling roles, counselling competencies, challenges encountered and perceptions of effectiveness. </w:t>
      </w:r>
    </w:p>
    <w:p w14:paraId="5B9795FA">
      <w:pPr>
        <w:spacing w:before="100" w:beforeAutospacing="1" w:after="100" w:afterAutospacing="1" w:line="360" w:lineRule="auto"/>
        <w:jc w:val="both"/>
        <w:outlineLvl w:val="2"/>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Focus Group Discussions (FGDs)</w:t>
      </w:r>
    </w:p>
    <w:p w14:paraId="386FA462">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Focus group discussions will be conducted with students to gather collective perspectives on their experiences with teacher-led counselling. FGDs are useful for exploring shared experiences because they promote interaction among participants with spontaneity</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Gun20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 xml:space="preserve"> (Gundumogula, 2020)</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Each focus group will consist of 6 participants.</w:t>
      </w:r>
    </w:p>
    <w:p w14:paraId="60A35DB7">
      <w:pPr>
        <w:tabs>
          <w:tab w:val="left" w:pos="2450"/>
        </w:tabs>
        <w:spacing w:before="100" w:beforeAutospacing="1" w:after="100" w:afterAutospacing="1" w:line="360" w:lineRule="auto"/>
        <w:jc w:val="both"/>
        <w:outlineLvl w:val="2"/>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Document Review</w:t>
      </w:r>
    </w:p>
    <w:p w14:paraId="04EBA61B">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Relevant school documents such as counselling records, referral reports, school policies, and disciplinary records will be reviewed to understand the institutional structure of guidance and counselling. This method will help verify and complement interview data.</w:t>
      </w:r>
    </w:p>
    <w:p w14:paraId="758B2289">
      <w:pPr>
        <w:spacing w:before="100" w:beforeAutospacing="1" w:after="100" w:afterAutospacing="1" w:line="360" w:lineRule="auto"/>
        <w:jc w:val="both"/>
        <w:outlineLvl w:val="1"/>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 xml:space="preserve"> </w:t>
      </w:r>
    </w:p>
    <w:p w14:paraId="60EB2846">
      <w:pPr>
        <w:spacing w:before="100" w:beforeAutospacing="1" w:after="100" w:afterAutospacing="1" w:line="360" w:lineRule="auto"/>
        <w:jc w:val="both"/>
        <w:outlineLvl w:val="1"/>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12. Data Analysis</w:t>
      </w:r>
    </w:p>
    <w:p w14:paraId="58F9DE63">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Data will be analysed using </w:t>
      </w:r>
      <w:r>
        <w:rPr>
          <w:rFonts w:ascii="Times New Roman" w:hAnsi="Times New Roman" w:eastAsia="Times New Roman" w:cs="Times New Roman"/>
          <w:bCs/>
          <w:sz w:val="24"/>
          <w:szCs w:val="24"/>
          <w:lang w:eastAsia="en-GB"/>
        </w:rPr>
        <w:t>thematic analysis. Thematic analysis is a qualitative</w:t>
      </w:r>
      <w:r>
        <w:rPr>
          <w:rFonts w:ascii="Times New Roman" w:hAnsi="Times New Roman" w:eastAsia="Times New Roman" w:cs="Times New Roman"/>
          <w:sz w:val="24"/>
          <w:szCs w:val="24"/>
          <w:lang w:eastAsia="en-GB"/>
        </w:rPr>
        <w:t xml:space="preserve"> is research method that researchers use to systematically organise complex data sets </w:t>
      </w:r>
      <w:r>
        <w:rPr>
          <w:rFonts w:ascii="Times New Roman" w:hAnsi="Times New Roman" w:eastAsia="Times New Roman" w:cs="Times New Roman"/>
          <w:sz w:val="24"/>
          <w:szCs w:val="24"/>
          <w:lang w:eastAsia="en-GB"/>
        </w:rPr>
        <w:fldChar w:fldCharType="begin"/>
      </w:r>
      <w:r>
        <w:rPr>
          <w:rFonts w:ascii="Times New Roman" w:hAnsi="Times New Roman" w:eastAsia="Times New Roman" w:cs="Times New Roman"/>
          <w:sz w:val="24"/>
          <w:szCs w:val="24"/>
          <w:lang w:val="en-US" w:eastAsia="en-GB"/>
        </w:rPr>
        <w:instrText xml:space="preserve"> CITATION Daw20 \l 1033 </w:instrText>
      </w:r>
      <w:r>
        <w:rPr>
          <w:rFonts w:ascii="Times New Roman" w:hAnsi="Times New Roman" w:eastAsia="Times New Roman" w:cs="Times New Roman"/>
          <w:sz w:val="24"/>
          <w:szCs w:val="24"/>
          <w:lang w:eastAsia="en-GB"/>
        </w:rPr>
        <w:fldChar w:fldCharType="separate"/>
      </w:r>
      <w:r>
        <w:rPr>
          <w:rFonts w:ascii="Times New Roman" w:hAnsi="Times New Roman" w:eastAsia="Times New Roman" w:cs="Times New Roman"/>
          <w:sz w:val="24"/>
          <w:szCs w:val="24"/>
          <w:lang w:val="en-US" w:eastAsia="en-GB"/>
        </w:rPr>
        <w:t>(Dawadi, 2020)</w:t>
      </w:r>
      <w:r>
        <w:rPr>
          <w:rFonts w:ascii="Times New Roman" w:hAnsi="Times New Roman" w:eastAsia="Times New Roman" w:cs="Times New Roman"/>
          <w:sz w:val="24"/>
          <w:szCs w:val="24"/>
          <w:lang w:eastAsia="en-GB"/>
        </w:rPr>
        <w:fldChar w:fldCharType="end"/>
      </w:r>
      <w:r>
        <w:rPr>
          <w:rFonts w:ascii="Times New Roman" w:hAnsi="Times New Roman" w:eastAsia="Times New Roman" w:cs="Times New Roman"/>
          <w:sz w:val="24"/>
          <w:szCs w:val="24"/>
          <w:lang w:eastAsia="en-GB"/>
        </w:rPr>
        <w:t xml:space="preserve"> The process will involve:</w:t>
      </w:r>
    </w:p>
    <w:p w14:paraId="2A7EF0A4">
      <w:pPr>
        <w:numPr>
          <w:ilvl w:val="0"/>
          <w:numId w:val="4"/>
        </w:num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Familiarisation with data </w:t>
      </w:r>
    </w:p>
    <w:p w14:paraId="68522A13">
      <w:pPr>
        <w:numPr>
          <w:ilvl w:val="0"/>
          <w:numId w:val="4"/>
        </w:num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Coding </w:t>
      </w:r>
    </w:p>
    <w:p w14:paraId="5F577991">
      <w:pPr>
        <w:numPr>
          <w:ilvl w:val="0"/>
          <w:numId w:val="4"/>
        </w:num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Searching for themes </w:t>
      </w:r>
    </w:p>
    <w:p w14:paraId="4469AC1A">
      <w:pPr>
        <w:numPr>
          <w:ilvl w:val="0"/>
          <w:numId w:val="4"/>
        </w:num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Reviewing themes </w:t>
      </w:r>
    </w:p>
    <w:p w14:paraId="6429A74D">
      <w:pPr>
        <w:numPr>
          <w:ilvl w:val="0"/>
          <w:numId w:val="4"/>
        </w:num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Defining themes </w:t>
      </w:r>
    </w:p>
    <w:p w14:paraId="3734F974">
      <w:pPr>
        <w:numPr>
          <w:ilvl w:val="0"/>
          <w:numId w:val="4"/>
        </w:num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Writing the report </w:t>
      </w:r>
    </w:p>
    <w:p w14:paraId="4EEE68EC">
      <w:pPr>
        <w:spacing w:before="100" w:beforeAutospacing="1" w:after="100" w:afterAutospacing="1" w:line="360" w:lineRule="auto"/>
        <w:jc w:val="both"/>
        <w:outlineLvl w:val="1"/>
        <w:rPr>
          <w:rFonts w:ascii="Times New Roman" w:hAnsi="Times New Roman" w:eastAsia="Times New Roman" w:cs="Times New Roman"/>
          <w:b/>
          <w:bCs/>
          <w:sz w:val="24"/>
          <w:szCs w:val="24"/>
          <w:lang w:eastAsia="en-GB"/>
        </w:rPr>
      </w:pPr>
      <w:r>
        <w:rPr>
          <w:rFonts w:ascii="Times New Roman" w:hAnsi="Times New Roman" w:eastAsia="Times New Roman" w:cs="Times New Roman"/>
          <w:sz w:val="24"/>
          <w:szCs w:val="24"/>
          <w:lang w:eastAsia="en-GB"/>
        </w:rPr>
        <w:t>Thematic analysis is appropriate because it allows identification of recurring patterns across participants’ experiences.</w:t>
      </w:r>
      <w:r>
        <w:rPr>
          <w:rFonts w:ascii="Times New Roman" w:hAnsi="Times New Roman" w:eastAsia="Times New Roman" w:cs="Times New Roman"/>
          <w:b/>
          <w:bCs/>
          <w:sz w:val="24"/>
          <w:szCs w:val="24"/>
          <w:lang w:eastAsia="en-GB"/>
        </w:rPr>
        <w:t xml:space="preserve"> </w:t>
      </w:r>
    </w:p>
    <w:p w14:paraId="76CF50ED">
      <w:pPr>
        <w:spacing w:before="100" w:beforeAutospacing="1" w:after="100" w:afterAutospacing="1" w:line="360" w:lineRule="auto"/>
        <w:jc w:val="both"/>
        <w:outlineLvl w:val="1"/>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Ethical Considerations</w:t>
      </w:r>
    </w:p>
    <w:p w14:paraId="365857EC">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Ethical principles will guide the study throughout the research process.</w:t>
      </w:r>
    </w:p>
    <w:p w14:paraId="0B47563A">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researcher will ensure:</w:t>
      </w:r>
    </w:p>
    <w:p w14:paraId="2EFC36AF">
      <w:pPr>
        <w:numPr>
          <w:ilvl w:val="0"/>
          <w:numId w:val="5"/>
        </w:num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bCs/>
          <w:sz w:val="24"/>
          <w:szCs w:val="24"/>
          <w:lang w:eastAsia="en-GB"/>
        </w:rPr>
        <w:t>Informed consent</w:t>
      </w:r>
      <w:r>
        <w:rPr>
          <w:rFonts w:ascii="Times New Roman" w:hAnsi="Times New Roman" w:eastAsia="Times New Roman" w:cs="Times New Roman"/>
          <w:sz w:val="24"/>
          <w:szCs w:val="24"/>
          <w:lang w:eastAsia="en-GB"/>
        </w:rPr>
        <w:t xml:space="preserve"> from all adult participants. </w:t>
      </w:r>
    </w:p>
    <w:p w14:paraId="6D2809F9">
      <w:pPr>
        <w:numPr>
          <w:ilvl w:val="0"/>
          <w:numId w:val="5"/>
        </w:num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bCs/>
          <w:sz w:val="24"/>
          <w:szCs w:val="24"/>
          <w:lang w:eastAsia="en-GB"/>
        </w:rPr>
        <w:t>Parental consent and student assent</w:t>
      </w:r>
      <w:r>
        <w:rPr>
          <w:rFonts w:ascii="Times New Roman" w:hAnsi="Times New Roman" w:eastAsia="Times New Roman" w:cs="Times New Roman"/>
          <w:sz w:val="24"/>
          <w:szCs w:val="24"/>
          <w:lang w:eastAsia="en-GB"/>
        </w:rPr>
        <w:t xml:space="preserve"> for minors. </w:t>
      </w:r>
    </w:p>
    <w:p w14:paraId="06CD3673">
      <w:pPr>
        <w:numPr>
          <w:ilvl w:val="0"/>
          <w:numId w:val="5"/>
        </w:num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bCs/>
          <w:sz w:val="24"/>
          <w:szCs w:val="24"/>
          <w:lang w:eastAsia="en-GB"/>
        </w:rPr>
        <w:t>Confidentiality</w:t>
      </w:r>
      <w:r>
        <w:rPr>
          <w:rFonts w:ascii="Times New Roman" w:hAnsi="Times New Roman" w:eastAsia="Times New Roman" w:cs="Times New Roman"/>
          <w:sz w:val="24"/>
          <w:szCs w:val="24"/>
          <w:lang w:eastAsia="en-GB"/>
        </w:rPr>
        <w:t xml:space="preserve"> by using pseudonyms. </w:t>
      </w:r>
    </w:p>
    <w:p w14:paraId="7C1C7717">
      <w:pPr>
        <w:numPr>
          <w:ilvl w:val="0"/>
          <w:numId w:val="5"/>
        </w:num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bCs/>
          <w:sz w:val="24"/>
          <w:szCs w:val="24"/>
          <w:lang w:eastAsia="en-GB"/>
        </w:rPr>
        <w:t>Voluntary participation</w:t>
      </w:r>
      <w:r>
        <w:rPr>
          <w:rFonts w:ascii="Times New Roman" w:hAnsi="Times New Roman" w:eastAsia="Times New Roman" w:cs="Times New Roman"/>
          <w:sz w:val="24"/>
          <w:szCs w:val="24"/>
          <w:lang w:eastAsia="en-GB"/>
        </w:rPr>
        <w:t xml:space="preserve"> with the right to withdraw at any time. </w:t>
      </w:r>
    </w:p>
    <w:p w14:paraId="6EB233D8">
      <w:pPr>
        <w:numPr>
          <w:ilvl w:val="0"/>
          <w:numId w:val="5"/>
        </w:num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bCs/>
          <w:sz w:val="24"/>
          <w:szCs w:val="24"/>
          <w:lang w:eastAsia="en-GB"/>
        </w:rPr>
        <w:t>Permission from the Ministry of Education</w:t>
      </w:r>
      <w:r>
        <w:rPr>
          <w:rFonts w:ascii="Times New Roman" w:hAnsi="Times New Roman" w:eastAsia="Times New Roman" w:cs="Times New Roman"/>
          <w:sz w:val="24"/>
          <w:szCs w:val="24"/>
          <w:lang w:eastAsia="en-GB"/>
        </w:rPr>
        <w:t xml:space="preserve"> and school authorities. </w:t>
      </w:r>
    </w:p>
    <w:p w14:paraId="5389776C">
      <w:pPr>
        <w:numPr>
          <w:ilvl w:val="0"/>
          <w:numId w:val="5"/>
        </w:num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bCs/>
          <w:sz w:val="24"/>
          <w:szCs w:val="24"/>
          <w:lang w:eastAsia="en-GB"/>
        </w:rPr>
        <w:t>Institutional ethical clearance</w:t>
      </w:r>
      <w:r>
        <w:rPr>
          <w:rFonts w:ascii="Times New Roman" w:hAnsi="Times New Roman" w:eastAsia="Times New Roman" w:cs="Times New Roman"/>
          <w:sz w:val="24"/>
          <w:szCs w:val="24"/>
          <w:lang w:eastAsia="en-GB"/>
        </w:rPr>
        <w:t xml:space="preserve"> from the relevant university research ethics committee. </w:t>
      </w:r>
    </w:p>
    <w:p w14:paraId="3573D919">
      <w:pPr>
        <w:spacing w:before="100" w:beforeAutospacing="1" w:after="100" w:afterAutospacing="1"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Special attention will be given to emotional sensitivity since discussions may involve personal psychosocial experiences</w:t>
      </w:r>
    </w:p>
    <w:p w14:paraId="78D9FA6D">
      <w:pPr>
        <w:spacing w:line="360" w:lineRule="auto"/>
        <w:jc w:val="both"/>
        <w:rPr>
          <w:rFonts w:ascii="Times New Roman" w:hAnsi="Times New Roman" w:cs="Times New Roman"/>
          <w:i/>
          <w:sz w:val="24"/>
          <w:szCs w:val="24"/>
        </w:rPr>
      </w:pPr>
    </w:p>
    <w:p w14:paraId="3FCBDAE2">
      <w:pPr>
        <w:pStyle w:val="2"/>
        <w:rPr>
          <w:rFonts w:ascii="Times New Roman" w:hAnsi="Times New Roman" w:cs="Times New Roman"/>
          <w:b/>
          <w:color w:val="auto"/>
          <w:sz w:val="24"/>
          <w:szCs w:val="24"/>
        </w:rPr>
      </w:pPr>
      <w:r>
        <w:rPr>
          <w:rFonts w:ascii="Times New Roman" w:hAnsi="Times New Roman" w:cs="Times New Roman"/>
          <w:b/>
          <w:color w:val="auto"/>
          <w:sz w:val="24"/>
          <w:szCs w:val="24"/>
        </w:rPr>
        <w:t>References</w:t>
      </w:r>
    </w:p>
    <w:p w14:paraId="40FCAFA3">
      <w:pPr>
        <w:rPr>
          <w:rFonts w:ascii="Times New Roman" w:hAnsi="Times New Roman" w:cs="Times New Roman"/>
          <w:sz w:val="24"/>
          <w:szCs w:val="24"/>
          <w:lang w:val="en-US"/>
        </w:rPr>
      </w:pPr>
    </w:p>
    <w:p w14:paraId="2AE4DE46">
      <w:pPr>
        <w:pStyle w:val="10"/>
        <w:ind w:left="720" w:hanging="720"/>
        <w:rPr>
          <w:rFonts w:ascii="Times New Roman" w:hAnsi="Times New Roman" w:cs="Times New Roman"/>
          <w:sz w:val="24"/>
          <w:szCs w:val="24"/>
          <w:lang w:val="en-US"/>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BIBLIOGRAPHY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 xml:space="preserve">Amat, S. (2019). </w:t>
      </w:r>
      <w:r>
        <w:rPr>
          <w:rFonts w:ascii="Times New Roman" w:hAnsi="Times New Roman" w:cs="Times New Roman"/>
          <w:i/>
          <w:sz w:val="24"/>
          <w:szCs w:val="24"/>
          <w:lang w:val="en-US"/>
        </w:rPr>
        <w:t>Guidance and Counselling in Schools</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3rd International Conference on Current Issues in Education ( ICCIE 2018)</w:t>
      </w:r>
      <w:r>
        <w:rPr>
          <w:rFonts w:ascii="Times New Roman" w:hAnsi="Times New Roman" w:cs="Times New Roman"/>
          <w:sz w:val="24"/>
          <w:szCs w:val="24"/>
          <w:lang w:val="en-US"/>
        </w:rPr>
        <w:t xml:space="preserve"> (pp. 1-8). Doi:102991/iccie-18-2019.3.</w:t>
      </w:r>
    </w:p>
    <w:p w14:paraId="44F3072D">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American School Counsellor Association. (2022). </w:t>
      </w:r>
      <w:r>
        <w:rPr>
          <w:rFonts w:ascii="Times New Roman" w:hAnsi="Times New Roman" w:cs="Times New Roman"/>
          <w:i/>
          <w:iCs/>
          <w:sz w:val="24"/>
          <w:szCs w:val="24"/>
          <w:lang w:val="en-US"/>
        </w:rPr>
        <w:t>The Role of the School Counsellor.</w:t>
      </w:r>
      <w:r>
        <w:rPr>
          <w:rFonts w:ascii="Times New Roman" w:hAnsi="Times New Roman" w:cs="Times New Roman"/>
          <w:sz w:val="24"/>
          <w:szCs w:val="24"/>
          <w:lang w:val="en-US"/>
        </w:rPr>
        <w:t xml:space="preserve"> Alexandia: VA:.</w:t>
      </w:r>
    </w:p>
    <w:p w14:paraId="66C8C6AD">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Aronson, E. (1969). </w:t>
      </w:r>
      <w:r>
        <w:rPr>
          <w:rFonts w:ascii="Times New Roman" w:hAnsi="Times New Roman" w:cs="Times New Roman"/>
          <w:i/>
          <w:iCs/>
          <w:sz w:val="24"/>
          <w:szCs w:val="24"/>
          <w:lang w:val="en-US"/>
        </w:rPr>
        <w:t>The Theory of Cognitive Dissonance: A Current Perspective. In L. Berkowitz (Ed.), Advances in Experimental Social Psychology (Vol. 4, pp. 1–34).</w:t>
      </w:r>
      <w:r>
        <w:rPr>
          <w:rFonts w:ascii="Times New Roman" w:hAnsi="Times New Roman" w:cs="Times New Roman"/>
          <w:sz w:val="24"/>
          <w:szCs w:val="24"/>
          <w:lang w:val="en-US"/>
        </w:rPr>
        <w:t xml:space="preserve"> Academic Press.</w:t>
      </w:r>
    </w:p>
    <w:p w14:paraId="00C63E69">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Biddle, B. J. (1986). </w:t>
      </w:r>
      <w:r>
        <w:rPr>
          <w:rFonts w:ascii="Times New Roman" w:hAnsi="Times New Roman" w:cs="Times New Roman"/>
          <w:i/>
          <w:sz w:val="24"/>
          <w:szCs w:val="24"/>
          <w:lang w:val="en-US"/>
        </w:rPr>
        <w:t xml:space="preserve">Recent Developments in Role Theory. </w:t>
      </w:r>
      <w:r>
        <w:rPr>
          <w:rFonts w:ascii="Times New Roman" w:hAnsi="Times New Roman" w:cs="Times New Roman"/>
          <w:sz w:val="24"/>
          <w:szCs w:val="24"/>
          <w:lang w:val="en-US"/>
        </w:rPr>
        <w:t xml:space="preserve"> </w:t>
      </w:r>
      <w:r>
        <w:rPr>
          <w:rFonts w:ascii="Times New Roman" w:hAnsi="Times New Roman" w:cs="Times New Roman"/>
          <w:iCs/>
          <w:sz w:val="24"/>
          <w:szCs w:val="24"/>
          <w:lang w:val="en-US"/>
        </w:rPr>
        <w:t>Annual Review of Sociology,12(1)</w:t>
      </w:r>
      <w:r>
        <w:rPr>
          <w:rFonts w:ascii="Times New Roman" w:hAnsi="Times New Roman" w:cs="Times New Roman"/>
          <w:sz w:val="24"/>
          <w:szCs w:val="24"/>
          <w:lang w:val="en-US"/>
        </w:rPr>
        <w:t>.</w:t>
      </w:r>
    </w:p>
    <w:p w14:paraId="4EC35D00">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Blake, M. K. (2020). </w:t>
      </w:r>
      <w:r>
        <w:rPr>
          <w:rFonts w:ascii="Times New Roman" w:hAnsi="Times New Roman" w:cs="Times New Roman"/>
          <w:i/>
          <w:sz w:val="24"/>
          <w:szCs w:val="24"/>
          <w:lang w:val="en-US"/>
        </w:rPr>
        <w:t xml:space="preserve">Other Duties as Assigned: The Ambiguous Role of the High School Counselor. </w:t>
      </w:r>
      <w:r>
        <w:rPr>
          <w:rFonts w:ascii="Times New Roman" w:hAnsi="Times New Roman" w:cs="Times New Roman"/>
          <w:iCs/>
          <w:sz w:val="24"/>
          <w:szCs w:val="24"/>
          <w:lang w:val="en-US"/>
        </w:rPr>
        <w:t xml:space="preserve">Sociology of Education, 93(4), </w:t>
      </w:r>
      <w:r>
        <w:rPr>
          <w:rFonts w:ascii="Times New Roman" w:hAnsi="Times New Roman" w:cs="Times New Roman"/>
          <w:sz w:val="24"/>
          <w:szCs w:val="24"/>
          <w:lang w:val="en-US"/>
        </w:rPr>
        <w:t>, 315- 330.</w:t>
      </w:r>
    </w:p>
    <w:p w14:paraId="423BB971">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Chavuta, A. (2007).</w:t>
      </w:r>
      <w:r>
        <w:rPr>
          <w:rFonts w:ascii="Times New Roman" w:hAnsi="Times New Roman" w:cs="Times New Roman"/>
          <w:i/>
          <w:sz w:val="24"/>
          <w:szCs w:val="24"/>
          <w:lang w:val="en-US"/>
        </w:rPr>
        <w:t xml:space="preserve"> Malawi Baseline Study on Inclusive Education.</w:t>
      </w:r>
      <w:r>
        <w:rPr>
          <w:rFonts w:ascii="Times New Roman" w:hAnsi="Times New Roman" w:cs="Times New Roman"/>
          <w:sz w:val="24"/>
          <w:szCs w:val="24"/>
          <w:lang w:val="en-US"/>
        </w:rPr>
        <w:t xml:space="preserve"> </w:t>
      </w:r>
      <w:r>
        <w:rPr>
          <w:rFonts w:ascii="Times New Roman" w:hAnsi="Times New Roman" w:cs="Times New Roman"/>
          <w:iCs/>
          <w:sz w:val="24"/>
          <w:szCs w:val="24"/>
          <w:lang w:val="en-US"/>
        </w:rPr>
        <w:t>Enabling Education Network.</w:t>
      </w:r>
      <w:r>
        <w:rPr>
          <w:rFonts w:ascii="Times New Roman" w:hAnsi="Times New Roman" w:cs="Times New Roman"/>
          <w:sz w:val="24"/>
          <w:szCs w:val="24"/>
          <w:lang w:val="en-US"/>
        </w:rPr>
        <w:t xml:space="preserve"> </w:t>
      </w:r>
    </w:p>
    <w:p w14:paraId="0B27790B">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Chireshe, R. (2013)</w:t>
      </w:r>
      <w:r>
        <w:rPr>
          <w:rFonts w:ascii="Times New Roman" w:hAnsi="Times New Roman" w:cs="Times New Roman"/>
          <w:i/>
          <w:sz w:val="24"/>
          <w:szCs w:val="24"/>
          <w:lang w:val="en-US"/>
        </w:rPr>
        <w:t>. School Counsellors and Students' Perceptions of the Benefit of School Guidance and Counselling Services in Zimbabwean Secondary Schools.</w:t>
      </w:r>
      <w:r>
        <w:rPr>
          <w:rFonts w:ascii="Times New Roman" w:hAnsi="Times New Roman" w:cs="Times New Roman"/>
          <w:sz w:val="24"/>
          <w:szCs w:val="24"/>
          <w:lang w:val="en-US"/>
        </w:rPr>
        <w:t xml:space="preserve"> </w:t>
      </w:r>
      <w:r>
        <w:rPr>
          <w:rFonts w:ascii="Times New Roman" w:hAnsi="Times New Roman" w:cs="Times New Roman"/>
          <w:iCs/>
          <w:sz w:val="24"/>
          <w:szCs w:val="24"/>
          <w:lang w:val="en-US"/>
        </w:rPr>
        <w:t>Journal of Social Sciences,30(2),</w:t>
      </w:r>
      <w:r>
        <w:rPr>
          <w:rFonts w:ascii="Times New Roman" w:hAnsi="Times New Roman" w:cs="Times New Roman"/>
          <w:sz w:val="24"/>
          <w:szCs w:val="24"/>
          <w:lang w:val="en-US"/>
        </w:rPr>
        <w:t>, 159-166.</w:t>
      </w:r>
    </w:p>
    <w:p w14:paraId="0EC43CA7">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Cooper, J. (2007). </w:t>
      </w:r>
      <w:r>
        <w:rPr>
          <w:rFonts w:ascii="Times New Roman" w:hAnsi="Times New Roman" w:cs="Times New Roman"/>
          <w:i/>
          <w:iCs/>
          <w:sz w:val="24"/>
          <w:szCs w:val="24"/>
          <w:lang w:val="en-US"/>
        </w:rPr>
        <w:t>Cognitive Dissonance: Fifty Years Of Classic Theory.</w:t>
      </w:r>
      <w:r>
        <w:rPr>
          <w:rFonts w:ascii="Times New Roman" w:hAnsi="Times New Roman" w:cs="Times New Roman"/>
          <w:sz w:val="24"/>
          <w:szCs w:val="24"/>
          <w:lang w:val="en-US"/>
        </w:rPr>
        <w:t xml:space="preserve"> Sage Publications.</w:t>
      </w:r>
    </w:p>
    <w:p w14:paraId="31959186">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Cresswell, J. &amp;. (2018). </w:t>
      </w:r>
      <w:r>
        <w:rPr>
          <w:rFonts w:ascii="Times New Roman" w:hAnsi="Times New Roman" w:cs="Times New Roman"/>
          <w:i/>
          <w:iCs/>
          <w:sz w:val="24"/>
          <w:szCs w:val="24"/>
          <w:lang w:val="en-US"/>
        </w:rPr>
        <w:t>Quaitative inquiry and Research Design. Choosing Among Five Approaches (4th. ed).</w:t>
      </w:r>
      <w:r>
        <w:rPr>
          <w:rFonts w:ascii="Times New Roman" w:hAnsi="Times New Roman" w:cs="Times New Roman"/>
          <w:sz w:val="24"/>
          <w:szCs w:val="24"/>
          <w:lang w:val="en-US"/>
        </w:rPr>
        <w:t xml:space="preserve"> SAGE Publications.</w:t>
      </w:r>
    </w:p>
    <w:p w14:paraId="001348E8">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Dawadi, S. (2020). </w:t>
      </w:r>
      <w:r>
        <w:rPr>
          <w:rFonts w:ascii="Times New Roman" w:hAnsi="Times New Roman" w:cs="Times New Roman"/>
          <w:i/>
          <w:sz w:val="24"/>
          <w:szCs w:val="24"/>
          <w:lang w:val="en-US"/>
        </w:rPr>
        <w:t>Thematic Analysis: A Step by Stem Guide for ELT Research Practitioners.</w:t>
      </w:r>
      <w:r>
        <w:rPr>
          <w:rFonts w:ascii="Times New Roman" w:hAnsi="Times New Roman" w:cs="Times New Roman"/>
          <w:sz w:val="24"/>
          <w:szCs w:val="24"/>
          <w:lang w:val="en-US"/>
        </w:rPr>
        <w:t xml:space="preserve"> </w:t>
      </w:r>
      <w:r>
        <w:rPr>
          <w:rFonts w:ascii="Times New Roman" w:hAnsi="Times New Roman" w:cs="Times New Roman"/>
          <w:iCs/>
          <w:sz w:val="24"/>
          <w:szCs w:val="24"/>
          <w:lang w:val="en-US"/>
        </w:rPr>
        <w:t>NELTAJornal</w:t>
      </w:r>
      <w:r>
        <w:rPr>
          <w:rFonts w:ascii="Times New Roman" w:hAnsi="Times New Roman" w:cs="Times New Roman"/>
          <w:sz w:val="24"/>
          <w:szCs w:val="24"/>
          <w:lang w:val="en-US"/>
        </w:rPr>
        <w:t>, 1-10.</w:t>
      </w:r>
    </w:p>
    <w:p w14:paraId="1590F1E7">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Demerath., e. a. (2022). </w:t>
      </w:r>
      <w:r>
        <w:rPr>
          <w:rFonts w:ascii="Times New Roman" w:hAnsi="Times New Roman" w:cs="Times New Roman"/>
          <w:i/>
          <w:sz w:val="24"/>
          <w:szCs w:val="24"/>
          <w:lang w:val="en-US"/>
        </w:rPr>
        <w:t>A Grounded Model of How Educators Earn Students' Trust in High Performing US Urban High Schools.</w:t>
      </w:r>
      <w:r>
        <w:rPr>
          <w:rFonts w:ascii="Times New Roman" w:hAnsi="Times New Roman" w:cs="Times New Roman"/>
          <w:sz w:val="24"/>
          <w:szCs w:val="24"/>
          <w:lang w:val="en-US"/>
        </w:rPr>
        <w:t xml:space="preserve"> </w:t>
      </w:r>
      <w:r>
        <w:rPr>
          <w:rFonts w:ascii="Times New Roman" w:hAnsi="Times New Roman" w:cs="Times New Roman"/>
          <w:iCs/>
          <w:sz w:val="24"/>
          <w:szCs w:val="24"/>
          <w:lang w:val="en-US"/>
        </w:rPr>
        <w:t>The Urban Review. 54(4)https://doi.org/10.1007s11256-022-00635-4</w:t>
      </w:r>
      <w:r>
        <w:rPr>
          <w:rFonts w:ascii="Times New Roman" w:hAnsi="Times New Roman" w:cs="Times New Roman"/>
          <w:sz w:val="24"/>
          <w:szCs w:val="24"/>
          <w:lang w:val="en-US"/>
        </w:rPr>
        <w:t>, 703-732.</w:t>
      </w:r>
    </w:p>
    <w:p w14:paraId="2FF4CCFC">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Denzin, N. &amp;. (2018). </w:t>
      </w:r>
      <w:r>
        <w:rPr>
          <w:rFonts w:ascii="Times New Roman" w:hAnsi="Times New Roman" w:cs="Times New Roman"/>
          <w:i/>
          <w:iCs/>
          <w:sz w:val="24"/>
          <w:szCs w:val="24"/>
          <w:lang w:val="en-US"/>
        </w:rPr>
        <w:t>Qualitative Inquiry and Reseach Design: Choosing Among Five Approaches (4th.ed.).</w:t>
      </w:r>
      <w:r>
        <w:rPr>
          <w:rFonts w:ascii="Times New Roman" w:hAnsi="Times New Roman" w:cs="Times New Roman"/>
          <w:sz w:val="24"/>
          <w:szCs w:val="24"/>
          <w:lang w:val="en-US"/>
        </w:rPr>
        <w:t xml:space="preserve"> SAGE Publications.</w:t>
      </w:r>
    </w:p>
    <w:p w14:paraId="3DA7D84C">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Festinger, L. (1957). </w:t>
      </w:r>
      <w:r>
        <w:rPr>
          <w:rFonts w:ascii="Times New Roman" w:hAnsi="Times New Roman" w:cs="Times New Roman"/>
          <w:i/>
          <w:iCs/>
          <w:sz w:val="24"/>
          <w:szCs w:val="24"/>
          <w:lang w:val="en-US"/>
        </w:rPr>
        <w:t>A theory of cognitive dissonance.</w:t>
      </w:r>
      <w:r>
        <w:rPr>
          <w:rFonts w:ascii="Times New Roman" w:hAnsi="Times New Roman" w:cs="Times New Roman"/>
          <w:sz w:val="24"/>
          <w:szCs w:val="24"/>
          <w:lang w:val="en-US"/>
        </w:rPr>
        <w:t xml:space="preserve"> Stanford University Press.</w:t>
      </w:r>
    </w:p>
    <w:p w14:paraId="0EB564B0">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Georgiana, D. (2015). </w:t>
      </w:r>
      <w:r>
        <w:rPr>
          <w:rFonts w:ascii="Times New Roman" w:hAnsi="Times New Roman" w:cs="Times New Roman"/>
          <w:i/>
          <w:sz w:val="24"/>
          <w:szCs w:val="24"/>
          <w:lang w:val="en-US"/>
        </w:rPr>
        <w:t>Teacher’s Role as a Counsellor.</w:t>
      </w:r>
      <w:r>
        <w:rPr>
          <w:rFonts w:ascii="Times New Roman" w:hAnsi="Times New Roman" w:cs="Times New Roman"/>
          <w:sz w:val="24"/>
          <w:szCs w:val="24"/>
          <w:lang w:val="en-US"/>
        </w:rPr>
        <w:t xml:space="preserve">  </w:t>
      </w:r>
      <w:r>
        <w:rPr>
          <w:rFonts w:ascii="Times New Roman" w:hAnsi="Times New Roman" w:cs="Times New Roman"/>
          <w:iCs/>
          <w:sz w:val="24"/>
          <w:szCs w:val="24"/>
          <w:lang w:val="en-US"/>
        </w:rPr>
        <w:t xml:space="preserve">Procedia - Social and Behavioral Sciences, </w:t>
      </w:r>
      <w:r>
        <w:rPr>
          <w:rFonts w:ascii="Times New Roman" w:hAnsi="Times New Roman" w:cs="Times New Roman"/>
          <w:sz w:val="24"/>
          <w:szCs w:val="24"/>
          <w:lang w:val="en-US"/>
        </w:rPr>
        <w:t>, 1080-1085.</w:t>
      </w:r>
    </w:p>
    <w:p w14:paraId="011095AA">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Gundumogula, M. (2020). </w:t>
      </w:r>
      <w:r>
        <w:rPr>
          <w:rFonts w:ascii="Times New Roman" w:hAnsi="Times New Roman" w:cs="Times New Roman"/>
          <w:i/>
          <w:sz w:val="24"/>
          <w:szCs w:val="24"/>
          <w:lang w:val="en-US"/>
        </w:rPr>
        <w:t>Importance of Focus Groups In Qualitative Research.</w:t>
      </w:r>
      <w:r>
        <w:rPr>
          <w:rFonts w:ascii="Times New Roman" w:hAnsi="Times New Roman" w:cs="Times New Roman"/>
          <w:sz w:val="24"/>
          <w:szCs w:val="24"/>
          <w:lang w:val="en-US"/>
        </w:rPr>
        <w:t xml:space="preserve"> </w:t>
      </w:r>
      <w:r>
        <w:rPr>
          <w:rFonts w:ascii="Times New Roman" w:hAnsi="Times New Roman" w:cs="Times New Roman"/>
          <w:iCs/>
          <w:sz w:val="24"/>
          <w:szCs w:val="24"/>
          <w:lang w:val="en-US"/>
        </w:rPr>
        <w:t>International Journal of Humanities and Social Sciences (IJHSS), 8 (11)</w:t>
      </w:r>
      <w:r>
        <w:rPr>
          <w:rFonts w:ascii="Times New Roman" w:hAnsi="Times New Roman" w:cs="Times New Roman"/>
          <w:sz w:val="24"/>
          <w:szCs w:val="24"/>
          <w:lang w:val="en-US"/>
        </w:rPr>
        <w:t>, 299-302.</w:t>
      </w:r>
    </w:p>
    <w:p w14:paraId="4489E5CB">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Hako, A. N. (2023).</w:t>
      </w:r>
      <w:r>
        <w:rPr>
          <w:rFonts w:ascii="Times New Roman" w:hAnsi="Times New Roman" w:cs="Times New Roman"/>
          <w:i/>
          <w:sz w:val="24"/>
          <w:szCs w:val="24"/>
          <w:lang w:val="en-US"/>
        </w:rPr>
        <w:t xml:space="preserve"> Optimising Resource Allocation in Implementing School Counselling Programmes. </w:t>
      </w:r>
      <w:r>
        <w:rPr>
          <w:rFonts w:ascii="Times New Roman" w:hAnsi="Times New Roman" w:cs="Times New Roman"/>
          <w:sz w:val="24"/>
          <w:szCs w:val="24"/>
          <w:lang w:val="en-US"/>
        </w:rPr>
        <w:t>I</w:t>
      </w:r>
      <w:r>
        <w:rPr>
          <w:rFonts w:ascii="Times New Roman" w:hAnsi="Times New Roman" w:cs="Times New Roman"/>
          <w:iCs/>
          <w:sz w:val="24"/>
          <w:szCs w:val="24"/>
          <w:lang w:val="en-US"/>
        </w:rPr>
        <w:t>nternational Journal of Educational Psychology, 4(2)</w:t>
      </w:r>
      <w:r>
        <w:rPr>
          <w:rFonts w:ascii="Times New Roman" w:hAnsi="Times New Roman" w:cs="Times New Roman"/>
          <w:sz w:val="24"/>
          <w:szCs w:val="24"/>
          <w:lang w:val="en-US"/>
        </w:rPr>
        <w:t>, 1348-1356.</w:t>
      </w:r>
    </w:p>
    <w:p w14:paraId="327C3839">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Harmon-Jones, E. &amp;. (2019). </w:t>
      </w:r>
      <w:r>
        <w:rPr>
          <w:rFonts w:ascii="Times New Roman" w:hAnsi="Times New Roman" w:cs="Times New Roman"/>
          <w:i/>
          <w:iCs/>
          <w:sz w:val="24"/>
          <w:szCs w:val="24"/>
          <w:lang w:val="en-US"/>
        </w:rPr>
        <w:t>Cognitive dissonance: Reexamining a pivotal theory in psychology (2nd ed.).</w:t>
      </w:r>
      <w:r>
        <w:rPr>
          <w:rFonts w:ascii="Times New Roman" w:hAnsi="Times New Roman" w:cs="Times New Roman"/>
          <w:sz w:val="24"/>
          <w:szCs w:val="24"/>
          <w:lang w:val="en-US"/>
        </w:rPr>
        <w:t xml:space="preserve"> American Psychological Association.</w:t>
      </w:r>
    </w:p>
    <w:p w14:paraId="7C43381C">
      <w:pPr>
        <w:pStyle w:val="10"/>
        <w:ind w:left="720" w:hanging="720"/>
        <w:rPr>
          <w:rFonts w:ascii="Times New Roman" w:hAnsi="Times New Roman" w:cs="Times New Roman"/>
          <w:sz w:val="24"/>
          <w:szCs w:val="24"/>
          <w:lang w:val="en-US"/>
        </w:rPr>
      </w:pPr>
    </w:p>
    <w:p w14:paraId="3903CFBD">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Johnsen, H. (2020). </w:t>
      </w:r>
      <w:r>
        <w:rPr>
          <w:rFonts w:ascii="Times New Roman" w:hAnsi="Times New Roman" w:cs="Times New Roman"/>
          <w:i/>
          <w:sz w:val="24"/>
          <w:szCs w:val="24"/>
          <w:lang w:val="en-US"/>
        </w:rPr>
        <w:t xml:space="preserve">The Importance of Trust in A Therapeutic Relationship. </w:t>
      </w:r>
      <w:r>
        <w:rPr>
          <w:rFonts w:ascii="Times New Roman" w:hAnsi="Times New Roman" w:cs="Times New Roman"/>
          <w:i/>
          <w:iCs/>
          <w:sz w:val="24"/>
          <w:szCs w:val="24"/>
          <w:lang w:val="en-US"/>
        </w:rPr>
        <w:t>The Good Expat Life.com</w:t>
      </w:r>
      <w:r>
        <w:rPr>
          <w:rFonts w:ascii="Times New Roman" w:hAnsi="Times New Roman" w:cs="Times New Roman"/>
          <w:sz w:val="24"/>
          <w:szCs w:val="24"/>
          <w:lang w:val="en-US"/>
        </w:rPr>
        <w:t>, 1-9.</w:t>
      </w:r>
    </w:p>
    <w:p w14:paraId="02B5D926">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Kahn, R. L. (1964). </w:t>
      </w:r>
      <w:r>
        <w:rPr>
          <w:rFonts w:ascii="Times New Roman" w:hAnsi="Times New Roman" w:cs="Times New Roman"/>
          <w:i/>
          <w:iCs/>
          <w:sz w:val="24"/>
          <w:szCs w:val="24"/>
          <w:lang w:val="en-US"/>
        </w:rPr>
        <w:t>Organizational Stress: Studies in Role Conflict and Ambiguity. .</w:t>
      </w:r>
      <w:r>
        <w:rPr>
          <w:rFonts w:ascii="Times New Roman" w:hAnsi="Times New Roman" w:cs="Times New Roman"/>
          <w:sz w:val="24"/>
          <w:szCs w:val="24"/>
          <w:lang w:val="en-US"/>
        </w:rPr>
        <w:t xml:space="preserve"> Wiley.</w:t>
      </w:r>
    </w:p>
    <w:p w14:paraId="13B4562A">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Kanga, B. M. (2015). Effectiveness of guidance and counselling services in enhancing students’ adjustment to school environments. . </w:t>
      </w:r>
      <w:r>
        <w:rPr>
          <w:rFonts w:ascii="Times New Roman" w:hAnsi="Times New Roman" w:cs="Times New Roman"/>
          <w:i/>
          <w:iCs/>
          <w:sz w:val="24"/>
          <w:szCs w:val="24"/>
          <w:lang w:val="en-US"/>
        </w:rPr>
        <w:t>International Journal of Education and Research,3,(7),</w:t>
      </w:r>
      <w:r>
        <w:rPr>
          <w:rFonts w:ascii="Times New Roman" w:hAnsi="Times New Roman" w:cs="Times New Roman"/>
          <w:sz w:val="24"/>
          <w:szCs w:val="24"/>
          <w:lang w:val="en-US"/>
        </w:rPr>
        <w:t>, 201-212.</w:t>
      </w:r>
    </w:p>
    <w:p w14:paraId="1D36F927">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Kaplan, D. e. (2014). 20/20: A Vision for the Future of Counselling: The Delegates Agreement. </w:t>
      </w:r>
      <w:r>
        <w:rPr>
          <w:rFonts w:ascii="Times New Roman" w:hAnsi="Times New Roman" w:cs="Times New Roman"/>
          <w:i/>
          <w:iCs/>
          <w:sz w:val="24"/>
          <w:szCs w:val="24"/>
          <w:lang w:val="en-US"/>
        </w:rPr>
        <w:t>Journal of Counselling &amp; Development,92 (3),</w:t>
      </w:r>
      <w:r>
        <w:rPr>
          <w:rFonts w:ascii="Times New Roman" w:hAnsi="Times New Roman" w:cs="Times New Roman"/>
          <w:sz w:val="24"/>
          <w:szCs w:val="24"/>
          <w:lang w:val="en-US"/>
        </w:rPr>
        <w:t>, 366-372.</w:t>
      </w:r>
    </w:p>
    <w:p w14:paraId="3616EFE5">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Ku Johari., e. (2020). Psychological Well Being of School Counsellors. </w:t>
      </w:r>
      <w:r>
        <w:rPr>
          <w:rFonts w:ascii="Times New Roman" w:hAnsi="Times New Roman" w:cs="Times New Roman"/>
          <w:i/>
          <w:iCs/>
          <w:sz w:val="24"/>
          <w:szCs w:val="24"/>
          <w:lang w:val="en-US"/>
        </w:rPr>
        <w:t>International Journal of Psychosocial Rehabilitation, Vol 24,Issue 06</w:t>
      </w:r>
      <w:r>
        <w:rPr>
          <w:rFonts w:ascii="Times New Roman" w:hAnsi="Times New Roman" w:cs="Times New Roman"/>
          <w:sz w:val="24"/>
          <w:szCs w:val="24"/>
          <w:lang w:val="en-US"/>
        </w:rPr>
        <w:t>, 1-10.</w:t>
      </w:r>
    </w:p>
    <w:p w14:paraId="5E96B564">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Maluwa-banda. (1998). School Counsellor's Perceptions of a Guidance and Counselling Programme in Malawi's Secondary Schools. </w:t>
      </w:r>
      <w:r>
        <w:rPr>
          <w:rFonts w:ascii="Times New Roman" w:hAnsi="Times New Roman" w:cs="Times New Roman"/>
          <w:i/>
          <w:iCs/>
          <w:sz w:val="24"/>
          <w:szCs w:val="24"/>
          <w:lang w:val="en-US"/>
        </w:rPr>
        <w:t>British Journal of Guidance &amp; Counselling, Vol. 26, Issue 2.</w:t>
      </w:r>
      <w:r>
        <w:rPr>
          <w:rFonts w:ascii="Times New Roman" w:hAnsi="Times New Roman" w:cs="Times New Roman"/>
          <w:sz w:val="24"/>
          <w:szCs w:val="24"/>
          <w:lang w:val="en-US"/>
        </w:rPr>
        <w:t>, https:doi.org/10.1080/03069889808259707.</w:t>
      </w:r>
    </w:p>
    <w:p w14:paraId="6CB7F279">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Maslach, C. &amp;. (2016). Understanding burnout. . </w:t>
      </w:r>
      <w:r>
        <w:rPr>
          <w:rFonts w:ascii="Times New Roman" w:hAnsi="Times New Roman" w:cs="Times New Roman"/>
          <w:i/>
          <w:iCs/>
          <w:sz w:val="24"/>
          <w:szCs w:val="24"/>
          <w:lang w:val="en-US"/>
        </w:rPr>
        <w:t>World Psychiatry, 15(2)</w:t>
      </w:r>
      <w:r>
        <w:rPr>
          <w:rFonts w:ascii="Times New Roman" w:hAnsi="Times New Roman" w:cs="Times New Roman"/>
          <w:sz w:val="24"/>
          <w:szCs w:val="24"/>
          <w:lang w:val="en-US"/>
        </w:rPr>
        <w:t>, 103- 111.</w:t>
      </w:r>
    </w:p>
    <w:p w14:paraId="2313168E">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Merlin, E. (2011). Counsellor Professional Identity: Findings and Implicationsfor Couselling and Interprofessional Collaboration. </w:t>
      </w:r>
      <w:r>
        <w:rPr>
          <w:rFonts w:ascii="Times New Roman" w:hAnsi="Times New Roman" w:cs="Times New Roman"/>
          <w:i/>
          <w:iCs/>
          <w:sz w:val="24"/>
          <w:szCs w:val="24"/>
          <w:lang w:val="en-US"/>
        </w:rPr>
        <w:t>Journal of Counselling &amp;Development 89,https:dpo.org/10.1002/j.1556-6778.2011.tb0071.x</w:t>
      </w:r>
      <w:r>
        <w:rPr>
          <w:rFonts w:ascii="Times New Roman" w:hAnsi="Times New Roman" w:cs="Times New Roman"/>
          <w:sz w:val="24"/>
          <w:szCs w:val="24"/>
          <w:lang w:val="en-US"/>
        </w:rPr>
        <w:t>, 140-147.</w:t>
      </w:r>
    </w:p>
    <w:p w14:paraId="75495256">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Merrium, S. &amp;. (2016). </w:t>
      </w:r>
      <w:r>
        <w:rPr>
          <w:rFonts w:ascii="Times New Roman" w:hAnsi="Times New Roman" w:cs="Times New Roman"/>
          <w:i/>
          <w:iCs/>
          <w:sz w:val="24"/>
          <w:szCs w:val="24"/>
          <w:lang w:val="en-US"/>
        </w:rPr>
        <w:t>Qualitative Research: A Guide to Design and Implementation (4th. ed.).</w:t>
      </w:r>
      <w:r>
        <w:rPr>
          <w:rFonts w:ascii="Times New Roman" w:hAnsi="Times New Roman" w:cs="Times New Roman"/>
          <w:sz w:val="24"/>
          <w:szCs w:val="24"/>
          <w:lang w:val="en-US"/>
        </w:rPr>
        <w:t xml:space="preserve"> Jossey-Bass.</w:t>
      </w:r>
    </w:p>
    <w:p w14:paraId="0AA8E0B4">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Muhammed, S. A. (2020). Impact of dual role of teaching and practice on school counsellors’ productivity in Nigeria. . </w:t>
      </w:r>
      <w:r>
        <w:rPr>
          <w:rFonts w:ascii="Times New Roman" w:hAnsi="Times New Roman" w:cs="Times New Roman"/>
          <w:i/>
          <w:iCs/>
          <w:sz w:val="24"/>
          <w:szCs w:val="24"/>
          <w:lang w:val="en-US"/>
        </w:rPr>
        <w:t>Journal of Education and Research, 10(2</w:t>
      </w:r>
      <w:r>
        <w:rPr>
          <w:rFonts w:ascii="Times New Roman" w:hAnsi="Times New Roman" w:cs="Times New Roman"/>
          <w:sz w:val="24"/>
          <w:szCs w:val="24"/>
          <w:lang w:val="en-US"/>
        </w:rPr>
        <w:t>, 56-72.</w:t>
      </w:r>
    </w:p>
    <w:p w14:paraId="4A1F0BFD">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Nadhirah, N. (2023). Professional Competence of School Counsellors in Guidance and Counselling Serveces. </w:t>
      </w:r>
      <w:r>
        <w:rPr>
          <w:rFonts w:ascii="Times New Roman" w:hAnsi="Times New Roman" w:cs="Times New Roman"/>
          <w:i/>
          <w:iCs/>
          <w:sz w:val="24"/>
          <w:szCs w:val="24"/>
          <w:lang w:val="en-US"/>
        </w:rPr>
        <w:t>Professional Guidance And Counselling Journal,5 (2)</w:t>
      </w:r>
      <w:r>
        <w:rPr>
          <w:rFonts w:ascii="Times New Roman" w:hAnsi="Times New Roman" w:cs="Times New Roman"/>
          <w:sz w:val="24"/>
          <w:szCs w:val="24"/>
          <w:lang w:val="en-US"/>
        </w:rPr>
        <w:t>, 1-10.</w:t>
      </w:r>
    </w:p>
    <w:p w14:paraId="3816364F">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Nyirenda, M. (2020). Factors motivating teachers in the provision of guidance and counselling services. </w:t>
      </w:r>
      <w:r>
        <w:rPr>
          <w:rFonts w:ascii="Times New Roman" w:hAnsi="Times New Roman" w:cs="Times New Roman"/>
          <w:i/>
          <w:iCs/>
          <w:sz w:val="24"/>
          <w:szCs w:val="24"/>
          <w:lang w:val="en-US"/>
        </w:rPr>
        <w:t>Master's Thesis, University of Zambia.</w:t>
      </w:r>
      <w:r>
        <w:rPr>
          <w:rFonts w:ascii="Times New Roman" w:hAnsi="Times New Roman" w:cs="Times New Roman"/>
          <w:sz w:val="24"/>
          <w:szCs w:val="24"/>
          <w:lang w:val="en-US"/>
        </w:rPr>
        <w:t xml:space="preserve"> </w:t>
      </w:r>
    </w:p>
    <w:p w14:paraId="517AC562">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Parveen, D. &amp;. (2023). The Role of Guidance and Counselling in Schools: Literature. </w:t>
      </w:r>
      <w:r>
        <w:rPr>
          <w:rFonts w:ascii="Times New Roman" w:hAnsi="Times New Roman" w:cs="Times New Roman"/>
          <w:i/>
          <w:iCs/>
          <w:sz w:val="24"/>
          <w:szCs w:val="24"/>
          <w:lang w:val="en-US"/>
        </w:rPr>
        <w:t>The International Journal of Indian Psychology, Vol 11, Issue 2, April-June, 2023.https://www.ijip.in</w:t>
      </w:r>
      <w:r>
        <w:rPr>
          <w:rFonts w:ascii="Times New Roman" w:hAnsi="Times New Roman" w:cs="Times New Roman"/>
          <w:sz w:val="24"/>
          <w:szCs w:val="24"/>
          <w:lang w:val="en-US"/>
        </w:rPr>
        <w:t>, 1-8.</w:t>
      </w:r>
    </w:p>
    <w:p w14:paraId="34EC2167">
      <w:pPr>
        <w:pStyle w:val="10"/>
        <w:ind w:left="720" w:hanging="720"/>
        <w:rPr>
          <w:rFonts w:ascii="Times New Roman" w:hAnsi="Times New Roman" w:cs="Times New Roman"/>
          <w:sz w:val="24"/>
          <w:szCs w:val="24"/>
          <w:lang w:val="en-US"/>
        </w:rPr>
      </w:pPr>
    </w:p>
    <w:p w14:paraId="6A2FC3C7">
      <w:pPr>
        <w:pStyle w:val="10"/>
        <w:ind w:left="720" w:hanging="720"/>
        <w:rPr>
          <w:rFonts w:ascii="Times New Roman" w:hAnsi="Times New Roman" w:cs="Times New Roman"/>
          <w:sz w:val="24"/>
          <w:szCs w:val="24"/>
          <w:lang w:val="en-US"/>
        </w:rPr>
      </w:pPr>
    </w:p>
    <w:p w14:paraId="00A16ED8">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Rajagopalan, I. (2019). Concept of Teaching. </w:t>
      </w:r>
      <w:r>
        <w:rPr>
          <w:rFonts w:ascii="Times New Roman" w:hAnsi="Times New Roman" w:cs="Times New Roman"/>
          <w:i/>
          <w:iCs/>
          <w:sz w:val="24"/>
          <w:szCs w:val="24"/>
          <w:lang w:val="en-US"/>
        </w:rPr>
        <w:t>Shanlax International Journal of Education, Vol. 7, no.2,2019,</w:t>
      </w:r>
      <w:r>
        <w:rPr>
          <w:rFonts w:ascii="Times New Roman" w:hAnsi="Times New Roman" w:cs="Times New Roman"/>
          <w:sz w:val="24"/>
          <w:szCs w:val="24"/>
          <w:lang w:val="en-US"/>
        </w:rPr>
        <w:t>, 5-8.</w:t>
      </w:r>
    </w:p>
    <w:p w14:paraId="4961735E">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Sood, N. (2016). </w:t>
      </w:r>
      <w:r>
        <w:rPr>
          <w:rFonts w:ascii="Times New Roman" w:hAnsi="Times New Roman" w:cs="Times New Roman"/>
          <w:i/>
          <w:iCs/>
          <w:sz w:val="24"/>
          <w:szCs w:val="24"/>
          <w:lang w:val="en-US"/>
        </w:rPr>
        <w:t>Guidance and Counselling in Edducation.</w:t>
      </w:r>
      <w:r>
        <w:rPr>
          <w:rFonts w:ascii="Times New Roman" w:hAnsi="Times New Roman" w:cs="Times New Roman"/>
          <w:sz w:val="24"/>
          <w:szCs w:val="24"/>
          <w:lang w:val="en-US"/>
        </w:rPr>
        <w:t xml:space="preserve"> Noida.: Vikas Publishing House Pvt.Ltd.</w:t>
      </w:r>
    </w:p>
    <w:p w14:paraId="11262BB1">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Stryker, S. (2000). </w:t>
      </w:r>
      <w:r>
        <w:rPr>
          <w:rFonts w:ascii="Times New Roman" w:hAnsi="Times New Roman" w:cs="Times New Roman"/>
          <w:i/>
          <w:iCs/>
          <w:sz w:val="24"/>
          <w:szCs w:val="24"/>
          <w:lang w:val="en-US"/>
        </w:rPr>
        <w:t>Identity Competetitions: Key to Differential Social Movemtne Participation. In Stryker, S., et.al(eds) Self Identity and Social Movements.</w:t>
      </w:r>
      <w:r>
        <w:rPr>
          <w:rFonts w:ascii="Times New Roman" w:hAnsi="Times New Roman" w:cs="Times New Roman"/>
          <w:sz w:val="24"/>
          <w:szCs w:val="24"/>
          <w:lang w:val="en-US"/>
        </w:rPr>
        <w:t xml:space="preserve"> Minneapolis. MN: University of Minnesota Press.</w:t>
      </w:r>
    </w:p>
    <w:p w14:paraId="137B577B">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Turner, R. (2002). </w:t>
      </w:r>
      <w:r>
        <w:rPr>
          <w:rFonts w:ascii="Times New Roman" w:hAnsi="Times New Roman" w:cs="Times New Roman"/>
          <w:i/>
          <w:iCs/>
          <w:sz w:val="24"/>
          <w:szCs w:val="24"/>
          <w:lang w:val="en-US"/>
        </w:rPr>
        <w:t>Role Theory in Handbook of Sociological Theory Research.</w:t>
      </w:r>
      <w:r>
        <w:rPr>
          <w:rFonts w:ascii="Times New Roman" w:hAnsi="Times New Roman" w:cs="Times New Roman"/>
          <w:sz w:val="24"/>
          <w:szCs w:val="24"/>
          <w:lang w:val="en-US"/>
        </w:rPr>
        <w:t xml:space="preserve"> Springer Nature.</w:t>
      </w:r>
    </w:p>
    <w:p w14:paraId="167565DE">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UNESCO. (2016). </w:t>
      </w:r>
      <w:r>
        <w:rPr>
          <w:rFonts w:ascii="Times New Roman" w:hAnsi="Times New Roman" w:cs="Times New Roman"/>
          <w:i/>
          <w:iCs/>
          <w:sz w:val="24"/>
          <w:szCs w:val="24"/>
          <w:lang w:val="en-US"/>
        </w:rPr>
        <w:t>Guidance, Counselling and Youth Development Centre For Africa (GCYDCA) July 2016 Report.</w:t>
      </w:r>
      <w:r>
        <w:rPr>
          <w:rFonts w:ascii="Times New Roman" w:hAnsi="Times New Roman" w:cs="Times New Roman"/>
          <w:sz w:val="24"/>
          <w:szCs w:val="24"/>
          <w:lang w:val="en-US"/>
        </w:rPr>
        <w:t xml:space="preserve"> Retrieved from https://geydca.org/site/wp-content/uploads/2016/11/GCYDCA-SEMI-ANNUAL 2016-REPORT.pdf.</w:t>
      </w:r>
    </w:p>
    <w:p w14:paraId="71995574">
      <w:pPr>
        <w:pStyle w:val="10"/>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Yin, R. (2018). </w:t>
      </w:r>
      <w:r>
        <w:rPr>
          <w:rFonts w:ascii="Times New Roman" w:hAnsi="Times New Roman" w:cs="Times New Roman"/>
          <w:i/>
          <w:iCs/>
          <w:sz w:val="24"/>
          <w:szCs w:val="24"/>
          <w:lang w:val="en-US"/>
        </w:rPr>
        <w:t>Case Study Research and Applications:Design and Methods (6th ed.).</w:t>
      </w:r>
      <w:r>
        <w:rPr>
          <w:rFonts w:ascii="Times New Roman" w:hAnsi="Times New Roman" w:cs="Times New Roman"/>
          <w:sz w:val="24"/>
          <w:szCs w:val="24"/>
          <w:lang w:val="en-US"/>
        </w:rPr>
        <w:t xml:space="preserve"> C.Sage.: Thousand Oaks.</w:t>
      </w:r>
    </w:p>
    <w:p w14:paraId="677F6C70">
      <w:pPr>
        <w:rPr>
          <w:rFonts w:ascii="Times New Roman" w:hAnsi="Times New Roman" w:cs="Times New Roman"/>
          <w:sz w:val="24"/>
          <w:szCs w:val="24"/>
        </w:rPr>
      </w:pPr>
      <w:r>
        <w:rPr>
          <w:rFonts w:ascii="Times New Roman" w:hAnsi="Times New Roman" w:cs="Times New Roman"/>
          <w:b/>
          <w:bCs/>
          <w:sz w:val="24"/>
          <w:szCs w:val="24"/>
        </w:rPr>
        <w:fldChar w:fldCharType="end"/>
      </w:r>
    </w:p>
    <w:p w14:paraId="566CFE6E">
      <w:pPr>
        <w:spacing w:line="360" w:lineRule="auto"/>
        <w:jc w:val="both"/>
        <w:rPr>
          <w:rFonts w:ascii="Times New Roman" w:hAnsi="Times New Roman" w:cs="Times New Roman"/>
          <w:i/>
          <w:sz w:val="24"/>
          <w:szCs w:val="24"/>
        </w:rPr>
      </w:pPr>
    </w:p>
    <w:p w14:paraId="7F4B23B7">
      <w:pPr>
        <w:spacing w:before="100" w:beforeAutospacing="1" w:after="100" w:afterAutospacing="1" w:line="360" w:lineRule="auto"/>
        <w:jc w:val="both"/>
        <w:rPr>
          <w:rFonts w:ascii="Times New Roman" w:hAnsi="Times New Roman" w:eastAsia="Times New Roman" w:cs="Times New Roman"/>
          <w:i/>
          <w:sz w:val="24"/>
          <w:szCs w:val="24"/>
          <w:lang w:eastAsia="en-GB"/>
        </w:rPr>
      </w:pPr>
    </w:p>
    <w:p w14:paraId="59ACC237">
      <w:pPr>
        <w:spacing w:before="100" w:beforeAutospacing="1" w:after="100" w:afterAutospacing="1" w:line="360" w:lineRule="auto"/>
        <w:jc w:val="both"/>
        <w:rPr>
          <w:rFonts w:ascii="Times New Roman" w:hAnsi="Times New Roman" w:eastAsia="Times New Roman" w:cs="Times New Roman"/>
          <w:sz w:val="24"/>
          <w:szCs w:val="24"/>
          <w:lang w:eastAsia="en-GB"/>
        </w:rPr>
      </w:pPr>
    </w:p>
    <w:p w14:paraId="2F443939">
      <w:pPr>
        <w:spacing w:line="360" w:lineRule="auto"/>
        <w:jc w:val="both"/>
        <w:rPr>
          <w:rFonts w:ascii="Times New Roman" w:hAnsi="Times New Roman" w:cs="Times New Roman"/>
          <w:sz w:val="24"/>
          <w:szCs w:val="24"/>
        </w:rPr>
      </w:pPr>
    </w:p>
    <w:sectPr>
      <w:pgSz w:w="12240" w:h="15840"/>
      <w:pgMar w:top="1440" w:right="1440" w:bottom="1440" w:left="1440"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9E51E4"/>
    <w:multiLevelType w:val="multilevel"/>
    <w:tmpl w:val="009E51E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A9E7F49"/>
    <w:multiLevelType w:val="multilevel"/>
    <w:tmpl w:val="0A9E7F49"/>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17E44850"/>
    <w:multiLevelType w:val="multilevel"/>
    <w:tmpl w:val="17E44850"/>
    <w:lvl w:ilvl="0" w:tentative="0">
      <w:start w:val="1"/>
      <w:numFmt w:val="decimal"/>
      <w:lvlText w:val="%1."/>
      <w:lvlJc w:val="left"/>
      <w:pPr>
        <w:tabs>
          <w:tab w:val="left" w:pos="785"/>
        </w:tabs>
        <w:ind w:left="785"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FA22F01"/>
    <w:multiLevelType w:val="multilevel"/>
    <w:tmpl w:val="1FA22F0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49057641"/>
    <w:multiLevelType w:val="multilevel"/>
    <w:tmpl w:val="4905764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2"/>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hyphenationZone w:val="360"/>
  <w:displayHorizontalDrawingGridEvery w:val="1"/>
  <w:displayVerticalDrawingGridEvery w:val="1"/>
  <w:characterSpacingControl w:val="doNotCompress"/>
  <w:footnotePr>
    <w:footnote w:id="0"/>
    <w:footnote w:id="1"/>
  </w:footnotePr>
  <w:endnotePr>
    <w:endnote w:id="0"/>
    <w:endnote w:id="1"/>
  </w:endnotePr>
  <w:compat>
    <w:doNotLeaveBackslashAlon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B18"/>
    <w:rsid w:val="00013F05"/>
    <w:rsid w:val="000853BB"/>
    <w:rsid w:val="0021647C"/>
    <w:rsid w:val="002C445F"/>
    <w:rsid w:val="00350FFD"/>
    <w:rsid w:val="00355570"/>
    <w:rsid w:val="00442C6E"/>
    <w:rsid w:val="005A4874"/>
    <w:rsid w:val="00611B18"/>
    <w:rsid w:val="006B4AA9"/>
    <w:rsid w:val="007B6EC5"/>
    <w:rsid w:val="0082264D"/>
    <w:rsid w:val="008E2820"/>
    <w:rsid w:val="00917846"/>
    <w:rsid w:val="0096395D"/>
    <w:rsid w:val="009F0C13"/>
    <w:rsid w:val="00A514DB"/>
    <w:rsid w:val="00B405EE"/>
    <w:rsid w:val="00B4539F"/>
    <w:rsid w:val="00C4248A"/>
    <w:rsid w:val="00C50B5A"/>
    <w:rsid w:val="00CA13F9"/>
    <w:rsid w:val="00D30C7B"/>
    <w:rsid w:val="00D80C4F"/>
    <w:rsid w:val="00DA0DBD"/>
    <w:rsid w:val="00E71C90"/>
    <w:rsid w:val="00E93986"/>
    <w:rsid w:val="00EB3EDB"/>
    <w:rsid w:val="00EC55C9"/>
    <w:rsid w:val="00EC6D7D"/>
    <w:rsid w:val="36D864A4"/>
    <w:rsid w:val="48263BD8"/>
    <w:rsid w:val="5FCA275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Times New Roman"/>
      <w:sz w:val="22"/>
      <w:szCs w:val="22"/>
      <w:lang w:val="en-GB" w:eastAsia="en-US" w:bidi="ar-SA"/>
    </w:rPr>
  </w:style>
  <w:style w:type="paragraph" w:styleId="2">
    <w:name w:val="heading 1"/>
    <w:basedOn w:val="1"/>
    <w:next w:val="1"/>
    <w:link w:val="7"/>
    <w:qFormat/>
    <w:uiPriority w:val="9"/>
    <w:pPr>
      <w:keepNext/>
      <w:keepLines/>
      <w:spacing w:before="240" w:after="0"/>
      <w:outlineLvl w:val="0"/>
    </w:pPr>
    <w:rPr>
      <w:rFonts w:ascii="Calibri Light" w:hAnsi="Calibri Light" w:eastAsia="等线 Light" w:cs="Times New Roman"/>
      <w:color w:val="2E75B5"/>
      <w:sz w:val="32"/>
      <w:szCs w:val="32"/>
      <w:lang w:val="en-US"/>
    </w:rPr>
  </w:style>
  <w:style w:type="character" w:default="1" w:styleId="3">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5">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6">
    <w:name w:val="Strong"/>
    <w:basedOn w:val="3"/>
    <w:qFormat/>
    <w:uiPriority w:val="22"/>
    <w:rPr>
      <w:b/>
      <w:bCs/>
    </w:rPr>
  </w:style>
  <w:style w:type="character" w:customStyle="1" w:styleId="7">
    <w:name w:val="Heading 1 Char"/>
    <w:basedOn w:val="3"/>
    <w:link w:val="2"/>
    <w:qFormat/>
    <w:uiPriority w:val="9"/>
    <w:rPr>
      <w:rFonts w:ascii="Calibri Light" w:hAnsi="Calibri Light" w:eastAsia="等线 Light" w:cs="Times New Roman"/>
      <w:color w:val="2E75B5"/>
      <w:sz w:val="32"/>
      <w:szCs w:val="32"/>
      <w:lang w:val="en-US"/>
    </w:rPr>
  </w:style>
  <w:style w:type="paragraph" w:styleId="8">
    <w:name w:val="List Paragraph"/>
    <w:basedOn w:val="1"/>
    <w:qFormat/>
    <w:uiPriority w:val="34"/>
    <w:pPr>
      <w:ind w:left="720"/>
      <w:contextualSpacing/>
    </w:pPr>
  </w:style>
  <w:style w:type="paragraph" w:customStyle="1" w:styleId="9">
    <w:name w:val="pdq2pg_selectionanchorcontainer"/>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customStyle="1" w:styleId="10">
    <w:name w:val="Bibliography"/>
    <w:basedOn w:val="1"/>
    <w:next w:val="1"/>
    <w:unhideWhenUsed/>
    <w:qFormat/>
    <w:uiPriority w:val="37"/>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933</Words>
  <Characters>6253</Characters>
  <Lines>204</Lines>
  <Paragraphs>57</Paragraphs>
  <TotalTime>267</TotalTime>
  <ScaleCrop>false</ScaleCrop>
  <LinksUpToDate>false</LinksUpToDate>
  <CharactersWithSpaces>7180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2026-06-24T17:24:00Z</dcterms:created>
  <dc:creator>J. Chikwana</dc:creator>
  <cp:lastModifiedBy>J. Chikwana</cp:lastModifiedBy>
  <dcterms:modified xsi:type="dcterms:W3CDTF">2026-07-04T09:35:35Z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607280D08BE94BA69EB2BC02F879909A_13</vt:lpwstr>
  </property>
  <property fmtid="{D5CDD505-2E9C-101B-9397-08002B2CF9AE}" pid="4" name="KSOTemplateDocerSaveRecord">
    <vt:lpwstr>eyJoZGlkIjoiMzYxMWE5YTBhZTA4YmQzYzUxOGU5ZjYyMmM4OGQ0OWUifQ==</vt:lpwstr>
  </property>
</Properties>
</file>