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45F01" w14:textId="77777777" w:rsidR="005A750B" w:rsidRPr="00D542D2" w:rsidRDefault="00000000" w:rsidP="00D542D2">
      <w:pPr>
        <w:pStyle w:val="Title"/>
        <w:spacing w:line="360" w:lineRule="auto"/>
        <w:jc w:val="center"/>
        <w:rPr>
          <w:rFonts w:ascii="Times New Roman" w:hAnsi="Times New Roman" w:cs="Times New Roman"/>
          <w:color w:val="auto"/>
          <w:sz w:val="24"/>
          <w:szCs w:val="24"/>
        </w:rPr>
      </w:pPr>
      <w:r w:rsidRPr="00D542D2">
        <w:rPr>
          <w:rFonts w:ascii="Times New Roman" w:hAnsi="Times New Roman" w:cs="Times New Roman"/>
          <w:color w:val="auto"/>
          <w:sz w:val="24"/>
          <w:szCs w:val="24"/>
        </w:rPr>
        <w:t>RESEARCH PROPOSAL</w:t>
      </w:r>
    </w:p>
    <w:p w14:paraId="286D927D" w14:textId="48A064A5" w:rsidR="005A750B" w:rsidRPr="00D542D2" w:rsidRDefault="00000000" w:rsidP="00D542D2">
      <w:pPr>
        <w:spacing w:line="360" w:lineRule="auto"/>
        <w:jc w:val="center"/>
        <w:rPr>
          <w:rFonts w:ascii="Times New Roman" w:hAnsi="Times New Roman" w:cs="Times New Roman"/>
          <w:b/>
          <w:bCs/>
          <w:sz w:val="24"/>
          <w:szCs w:val="24"/>
        </w:rPr>
      </w:pPr>
      <w:r w:rsidRPr="00D542D2">
        <w:rPr>
          <w:rFonts w:ascii="Times New Roman" w:hAnsi="Times New Roman" w:cs="Times New Roman"/>
          <w:b/>
          <w:bCs/>
          <w:sz w:val="24"/>
          <w:szCs w:val="24"/>
        </w:rPr>
        <w:t>The Role of Restorative Practices on Behavioral Outcomes in Juvenile Delinquency: A Comparative Study Between Male and Female Delinquents in Selected Reformatory Centers in Malawi</w:t>
      </w:r>
    </w:p>
    <w:p w14:paraId="0E99992F" w14:textId="1B6C48D2" w:rsidR="005A750B" w:rsidRPr="00D542D2" w:rsidRDefault="00000000" w:rsidP="00D542D2">
      <w:pPr>
        <w:spacing w:line="360" w:lineRule="auto"/>
        <w:jc w:val="center"/>
        <w:rPr>
          <w:rFonts w:ascii="Times New Roman" w:hAnsi="Times New Roman" w:cs="Times New Roman"/>
          <w:b/>
          <w:bCs/>
          <w:sz w:val="24"/>
          <w:szCs w:val="24"/>
        </w:rPr>
      </w:pPr>
      <w:r w:rsidRPr="00D542D2">
        <w:rPr>
          <w:rFonts w:ascii="Times New Roman" w:hAnsi="Times New Roman" w:cs="Times New Roman"/>
          <w:b/>
          <w:bCs/>
          <w:sz w:val="24"/>
          <w:szCs w:val="24"/>
        </w:rPr>
        <w:t>Andrew Banda</w:t>
      </w:r>
    </w:p>
    <w:p w14:paraId="35965666" w14:textId="77777777" w:rsidR="005A750B" w:rsidRPr="00D542D2" w:rsidRDefault="00000000" w:rsidP="00D542D2">
      <w:pPr>
        <w:pStyle w:val="Heading1"/>
        <w:spacing w:line="360" w:lineRule="auto"/>
        <w:jc w:val="center"/>
        <w:rPr>
          <w:rFonts w:ascii="Times New Roman" w:hAnsi="Times New Roman" w:cs="Times New Roman"/>
          <w:color w:val="auto"/>
          <w:sz w:val="24"/>
          <w:szCs w:val="24"/>
        </w:rPr>
      </w:pPr>
      <w:r w:rsidRPr="00D542D2">
        <w:rPr>
          <w:rFonts w:ascii="Times New Roman" w:hAnsi="Times New Roman" w:cs="Times New Roman"/>
          <w:color w:val="auto"/>
          <w:sz w:val="24"/>
          <w:szCs w:val="24"/>
        </w:rPr>
        <w:t>CHAPTER ONE: INTRODUCTION</w:t>
      </w:r>
    </w:p>
    <w:p w14:paraId="637D54FA"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1.1 Background to the Study</w:t>
      </w:r>
    </w:p>
    <w:p w14:paraId="5A31F76D" w14:textId="5E1FF831"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Juvenile delinquency represents one of the most persistent and complex challenges facing social welfare and justice systems globally. It serves not merely as a legal classification but as a profound social signal indicating unmet developmental needs, systemic inequalities, and the turbulent transition of adolescence. Historically, justice systems have responded to youth offending with retributive measures</w:t>
      </w:r>
      <w:r w:rsidR="00D542D2">
        <w:rPr>
          <w:rFonts w:ascii="Times New Roman" w:hAnsi="Times New Roman" w:cs="Times New Roman"/>
          <w:sz w:val="24"/>
          <w:szCs w:val="24"/>
        </w:rPr>
        <w:t xml:space="preserve">, </w:t>
      </w:r>
      <w:r w:rsidRPr="00D542D2">
        <w:rPr>
          <w:rFonts w:ascii="Times New Roman" w:hAnsi="Times New Roman" w:cs="Times New Roman"/>
          <w:sz w:val="24"/>
          <w:szCs w:val="24"/>
        </w:rPr>
        <w:t>prioritizing incarceration, regimented control, and isolation. However, a significant paradigm shift is currently reshaping the landscape of juvenile justice, moving away from punitive models toward restorative practices.</w:t>
      </w:r>
    </w:p>
    <w:p w14:paraId="49EDED0F"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Globally, the adoption of restorative justice has been strongly influenced by international legal and policy frameworks, particularly the United Nations Convention on the Rights of the Child (CRC). Article 40 of the CRC explicitly emphasizes the use of alternatives to judicial proceedings, including diversion and restorative measures. In the context of Malawi, this shift is legal as well as theoretical. The enactment of the Child Care, Protection and Justice Act (2010) marked a watershed moment, explicitly advocating for diversion and restorative approaches over imprisonment.</w:t>
      </w:r>
    </w:p>
    <w:p w14:paraId="47AC37D5"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 xml:space="preserve">However, emerging empirical evidence highlights that juvenile delinquency is profoundly gendered, with male and female offenders exhibiting distinct pathways into criminal behavior. Male juveniles are more frequently associated with externalizing behaviors, including violence and property-related offenses, often shaped by peer influence. In contrast, female juveniles are more likely to engage in delinquent acts as a consequence </w:t>
      </w:r>
      <w:r w:rsidRPr="00D542D2">
        <w:rPr>
          <w:rFonts w:ascii="Times New Roman" w:hAnsi="Times New Roman" w:cs="Times New Roman"/>
          <w:sz w:val="24"/>
          <w:szCs w:val="24"/>
        </w:rPr>
        <w:lastRenderedPageBreak/>
        <w:t>of prior victimization, including sexual abuse, domestic violence, and systemic marginalization. Consequently, a restorative intervention that is effective for a boy may be ineffective, or even harmful, for a girl if it fails to account for these distinct gendered pathways.</w:t>
      </w:r>
    </w:p>
    <w:p w14:paraId="34E6C8FC"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1.2 Problem Statement</w:t>
      </w:r>
    </w:p>
    <w:p w14:paraId="14B946E3"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Despite the existence of progressive legal frameworks supporting child-centered justice in Malawi, juvenile rehabilitation systems continue to rely heavily on punitive and custodial approaches. This has resulted in limited behavioral transformation among juvenile offenders and persistent recidivism. Furthermore, existing interventions are largely gender-neutral, failing to address the distinct needs and pathways of male and female offenders.</w:t>
      </w:r>
    </w:p>
    <w:p w14:paraId="22E1360D"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There is a scarcity of recent empirical studies examining the effectiveness of restorative practices in Southern Africa, with most existing research concentrated in Western contexts. Specifically, there is a notable absence of Malawi-specific studies that evaluate the impact of restorative justice within reformatory centers, limiting the ability to develop contextually relevant interventions. This study seeks to address these gaps by providing a context-specific, gender-sensitive, and multidimensional analysis of restorative justice in Malawi.</w:t>
      </w:r>
    </w:p>
    <w:p w14:paraId="34E3646B"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1.3 Objectives of the Study</w:t>
      </w:r>
    </w:p>
    <w:p w14:paraId="12903298" w14:textId="77777777" w:rsidR="005A750B" w:rsidRPr="00D542D2" w:rsidRDefault="00000000" w:rsidP="00D542D2">
      <w:pPr>
        <w:pStyle w:val="Heading3"/>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General Objective:</w:t>
      </w:r>
    </w:p>
    <w:p w14:paraId="40F19CE7"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To examine the role of restorative practices on behavioral outcomes among juvenile delinquents in Malawi.</w:t>
      </w:r>
    </w:p>
    <w:p w14:paraId="101D1FCA" w14:textId="77777777" w:rsidR="005A750B" w:rsidRPr="00D542D2" w:rsidRDefault="00000000" w:rsidP="00D542D2">
      <w:pPr>
        <w:pStyle w:val="Heading3"/>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Specific Objectives:</w:t>
      </w:r>
    </w:p>
    <w:p w14:paraId="48594201" w14:textId="77777777" w:rsidR="005A750B" w:rsidRPr="00D542D2" w:rsidRDefault="00000000" w:rsidP="00D542D2">
      <w:pPr>
        <w:pStyle w:val="ListNumber"/>
        <w:spacing w:line="360" w:lineRule="auto"/>
        <w:rPr>
          <w:rFonts w:ascii="Times New Roman" w:hAnsi="Times New Roman" w:cs="Times New Roman"/>
          <w:sz w:val="24"/>
          <w:szCs w:val="24"/>
        </w:rPr>
      </w:pPr>
      <w:r w:rsidRPr="00D542D2">
        <w:rPr>
          <w:rFonts w:ascii="Times New Roman" w:hAnsi="Times New Roman" w:cs="Times New Roman"/>
          <w:sz w:val="24"/>
          <w:szCs w:val="24"/>
        </w:rPr>
        <w:t>To assess the types of restorative practices used in selected reformatory centers.</w:t>
      </w:r>
    </w:p>
    <w:p w14:paraId="2345EDFE" w14:textId="77777777" w:rsidR="005A750B" w:rsidRPr="00D542D2" w:rsidRDefault="00000000" w:rsidP="00D542D2">
      <w:pPr>
        <w:pStyle w:val="ListNumber"/>
        <w:spacing w:line="360" w:lineRule="auto"/>
        <w:rPr>
          <w:rFonts w:ascii="Times New Roman" w:hAnsi="Times New Roman" w:cs="Times New Roman"/>
          <w:sz w:val="24"/>
          <w:szCs w:val="24"/>
        </w:rPr>
      </w:pPr>
      <w:r w:rsidRPr="00D542D2">
        <w:rPr>
          <w:rFonts w:ascii="Times New Roman" w:hAnsi="Times New Roman" w:cs="Times New Roman"/>
          <w:sz w:val="24"/>
          <w:szCs w:val="24"/>
        </w:rPr>
        <w:t>To evaluate behavioral outcomes associated with restorative practices.</w:t>
      </w:r>
    </w:p>
    <w:p w14:paraId="4CC7E3A4" w14:textId="77777777" w:rsidR="005A750B" w:rsidRPr="00D542D2" w:rsidRDefault="00000000" w:rsidP="00D542D2">
      <w:pPr>
        <w:pStyle w:val="ListNumber"/>
        <w:spacing w:line="360" w:lineRule="auto"/>
        <w:rPr>
          <w:rFonts w:ascii="Times New Roman" w:hAnsi="Times New Roman" w:cs="Times New Roman"/>
          <w:sz w:val="24"/>
          <w:szCs w:val="24"/>
        </w:rPr>
      </w:pPr>
      <w:r w:rsidRPr="00D542D2">
        <w:rPr>
          <w:rFonts w:ascii="Times New Roman" w:hAnsi="Times New Roman" w:cs="Times New Roman"/>
          <w:sz w:val="24"/>
          <w:szCs w:val="24"/>
        </w:rPr>
        <w:t>To compare behavioral outcomes between male and female juvenile offenders.</w:t>
      </w:r>
    </w:p>
    <w:p w14:paraId="2B74F787" w14:textId="77777777" w:rsidR="005A750B" w:rsidRPr="00D542D2" w:rsidRDefault="00000000" w:rsidP="00D542D2">
      <w:pPr>
        <w:pStyle w:val="ListNumber"/>
        <w:spacing w:line="360" w:lineRule="auto"/>
        <w:rPr>
          <w:rFonts w:ascii="Times New Roman" w:hAnsi="Times New Roman" w:cs="Times New Roman"/>
          <w:sz w:val="24"/>
          <w:szCs w:val="24"/>
        </w:rPr>
      </w:pPr>
      <w:r w:rsidRPr="00D542D2">
        <w:rPr>
          <w:rFonts w:ascii="Times New Roman" w:hAnsi="Times New Roman" w:cs="Times New Roman"/>
          <w:sz w:val="24"/>
          <w:szCs w:val="24"/>
        </w:rPr>
        <w:t>To examine the influence of gender on the effectiveness of restorative practices.</w:t>
      </w:r>
    </w:p>
    <w:p w14:paraId="4148AD91"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lastRenderedPageBreak/>
        <w:t>1.4 Research Questions</w:t>
      </w:r>
    </w:p>
    <w:p w14:paraId="1C375E02" w14:textId="77777777" w:rsidR="005A750B" w:rsidRPr="00D542D2" w:rsidRDefault="00000000" w:rsidP="00D542D2">
      <w:pPr>
        <w:pStyle w:val="ListNumber"/>
        <w:spacing w:line="360" w:lineRule="auto"/>
        <w:rPr>
          <w:rFonts w:ascii="Times New Roman" w:hAnsi="Times New Roman" w:cs="Times New Roman"/>
          <w:sz w:val="24"/>
          <w:szCs w:val="24"/>
        </w:rPr>
      </w:pPr>
      <w:r w:rsidRPr="00D542D2">
        <w:rPr>
          <w:rFonts w:ascii="Times New Roman" w:hAnsi="Times New Roman" w:cs="Times New Roman"/>
          <w:sz w:val="24"/>
          <w:szCs w:val="24"/>
        </w:rPr>
        <w:t>What restorative practices are implemented in Malawian reformatory centers?</w:t>
      </w:r>
    </w:p>
    <w:p w14:paraId="131E2D66" w14:textId="77777777" w:rsidR="005A750B" w:rsidRPr="00D542D2" w:rsidRDefault="00000000" w:rsidP="00D542D2">
      <w:pPr>
        <w:pStyle w:val="ListNumber"/>
        <w:spacing w:line="360" w:lineRule="auto"/>
        <w:rPr>
          <w:rFonts w:ascii="Times New Roman" w:hAnsi="Times New Roman" w:cs="Times New Roman"/>
          <w:sz w:val="24"/>
          <w:szCs w:val="24"/>
        </w:rPr>
      </w:pPr>
      <w:r w:rsidRPr="00D542D2">
        <w:rPr>
          <w:rFonts w:ascii="Times New Roman" w:hAnsi="Times New Roman" w:cs="Times New Roman"/>
          <w:sz w:val="24"/>
          <w:szCs w:val="24"/>
        </w:rPr>
        <w:t>What behavioral outcomes are associated with these practices?</w:t>
      </w:r>
    </w:p>
    <w:p w14:paraId="07C05E27" w14:textId="77777777" w:rsidR="005A750B" w:rsidRPr="00D542D2" w:rsidRDefault="00000000" w:rsidP="00D542D2">
      <w:pPr>
        <w:pStyle w:val="ListNumber"/>
        <w:spacing w:line="360" w:lineRule="auto"/>
        <w:rPr>
          <w:rFonts w:ascii="Times New Roman" w:hAnsi="Times New Roman" w:cs="Times New Roman"/>
          <w:sz w:val="24"/>
          <w:szCs w:val="24"/>
        </w:rPr>
      </w:pPr>
      <w:r w:rsidRPr="00D542D2">
        <w:rPr>
          <w:rFonts w:ascii="Times New Roman" w:hAnsi="Times New Roman" w:cs="Times New Roman"/>
          <w:sz w:val="24"/>
          <w:szCs w:val="24"/>
        </w:rPr>
        <w:t>How do these outcomes differ between male and female offenders?</w:t>
      </w:r>
    </w:p>
    <w:p w14:paraId="79E8A534" w14:textId="77777777" w:rsidR="005A750B" w:rsidRPr="00D542D2" w:rsidRDefault="00000000" w:rsidP="00D542D2">
      <w:pPr>
        <w:pStyle w:val="ListNumber"/>
        <w:spacing w:line="360" w:lineRule="auto"/>
        <w:rPr>
          <w:rFonts w:ascii="Times New Roman" w:hAnsi="Times New Roman" w:cs="Times New Roman"/>
          <w:sz w:val="24"/>
          <w:szCs w:val="24"/>
        </w:rPr>
      </w:pPr>
      <w:r w:rsidRPr="00D542D2">
        <w:rPr>
          <w:rFonts w:ascii="Times New Roman" w:hAnsi="Times New Roman" w:cs="Times New Roman"/>
          <w:sz w:val="24"/>
          <w:szCs w:val="24"/>
        </w:rPr>
        <w:t>How does gender influence the effectiveness of restorative practices?</w:t>
      </w:r>
    </w:p>
    <w:p w14:paraId="6D16AE14"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1.5 Significance and Scope of the Study</w:t>
      </w:r>
    </w:p>
    <w:p w14:paraId="1A212E94"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This study contributes to academic knowledge, informs policy reform, and supports the development of gender-responsive rehabilitation strategies in Malawi. The scope focuses strictly on selected reformatory centers in Malawi and examines juvenile offenders aged below 18 years.</w:t>
      </w:r>
    </w:p>
    <w:p w14:paraId="06049A3E" w14:textId="77777777" w:rsidR="005A750B" w:rsidRPr="00D542D2" w:rsidRDefault="00000000" w:rsidP="00D542D2">
      <w:pPr>
        <w:pStyle w:val="Heading1"/>
        <w:spacing w:line="360" w:lineRule="auto"/>
        <w:jc w:val="center"/>
        <w:rPr>
          <w:rFonts w:ascii="Times New Roman" w:hAnsi="Times New Roman" w:cs="Times New Roman"/>
          <w:color w:val="auto"/>
          <w:sz w:val="24"/>
          <w:szCs w:val="24"/>
        </w:rPr>
      </w:pPr>
      <w:r w:rsidRPr="00D542D2">
        <w:rPr>
          <w:rFonts w:ascii="Times New Roman" w:hAnsi="Times New Roman" w:cs="Times New Roman"/>
          <w:color w:val="auto"/>
          <w:sz w:val="24"/>
          <w:szCs w:val="24"/>
        </w:rPr>
        <w:t>CHAPTER TWO: LITERATURE REVIEW</w:t>
      </w:r>
    </w:p>
    <w:p w14:paraId="799DF205"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2.1 Current Global and Local Status of Juvenile Delinquency</w:t>
      </w:r>
    </w:p>
    <w:p w14:paraId="3B5A9E2E"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Patterns of youth crime vary widely across regions. In many developed countries, the past two to three decades have witnessed a significant decline in youth offending. Yet, since 2015, this decline has plateaued, with property crimes rising in some areas and violent offenses showing persistent rates. Despite progress, approximately 259,000 children were detained worldwide in 2024, equating to a rate of 15 per 100,000.</w:t>
      </w:r>
    </w:p>
    <w:p w14:paraId="1E732800"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In Africa, juvenile delinquency remains a growing concern, driven by poverty, unemployment, and urban marginalization. In the congested slums of sub-Saharan Africa, youth often engage in crime for survival or identity, with familial instability compounding the issue. This dynamic is acute in Malawi, where street children drift into delinquency due to poverty and peer pressure. Nonetheless, Malawi recently recorded a 6% drop in total criminal cases, dropping from 40,037 in 2024 to 37,790 in 2025, changes largely credited to stronger policing and community initiatives.</w:t>
      </w:r>
    </w:p>
    <w:p w14:paraId="42D240F2"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2.2 Restorative Justice and Behavioral Outcomes</w:t>
      </w:r>
    </w:p>
    <w:p w14:paraId="17125F8E"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 xml:space="preserve">A comprehensive meta-analysis by Kimbrell et al. (2022) found that restorative justice interventions yield statistically significant reductions in recidivism, albeit with modest effect sizes. More notably, the study highlights that restorative practices are particularly </w:t>
      </w:r>
      <w:r w:rsidRPr="00D542D2">
        <w:rPr>
          <w:rFonts w:ascii="Times New Roman" w:hAnsi="Times New Roman" w:cs="Times New Roman"/>
          <w:sz w:val="24"/>
          <w:szCs w:val="24"/>
        </w:rPr>
        <w:lastRenderedPageBreak/>
        <w:t>effective in fostering non-criminogenic outcomes, including increased empathy, improved victim-offender relationships, and enhanced perceptions of procedural fairness. Further research from UNICEF (2024) indicates that diverting children away from formal judicial processes and into restorative frameworks reduces stigmatization and promotes positive identity development.</w:t>
      </w:r>
    </w:p>
    <w:p w14:paraId="36E883AF"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2.3 Gender Dynamics and Delinquency</w:t>
      </w:r>
    </w:p>
    <w:p w14:paraId="111093CA"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A critical examination of criminological literature reveals a significant "gender blindness," where theories of delinquency were historically developed based on male samples and generalized to females. Dr. Arta Mehmeti Ademi (2023) emphasizes the intersectionality of juvenile and female delinquency, arguing that female criminality is distinct, often underreported, and heavily influenced by gendered societal roles. In the Malawian context, Malanga (2021) highlights the pervasive nature of gender-based violence and societal stigma, which contribute to the vulnerability of girls and their involvement in delinquent behavior.</w:t>
      </w:r>
    </w:p>
    <w:p w14:paraId="44025D3C"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2.4 Theoretical and Conceptual Framework</w:t>
      </w:r>
    </w:p>
    <w:p w14:paraId="29BFB11F"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This study is anchored in an integrated theoretical framework:</w:t>
      </w:r>
    </w:p>
    <w:p w14:paraId="39FAC270"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Restorative Justice Theory (Zehr, 2002): Conceptualizes crime as a violation of relationships rather than merely a breach of law, emphasizing the repair of harm.</w:t>
      </w:r>
    </w:p>
    <w:p w14:paraId="640203CC"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Social Learning Theory (Bandura, 1977): Explains how behavior is acquired through observation and interaction, suggesting restorative practices create environments conducive to pro-social learning.</w:t>
      </w:r>
    </w:p>
    <w:p w14:paraId="3C58A365"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Feminist Pathways Theory: Highlights the gendered nature of delinquency, particularly the role of trauma and marginalization in shaping female offending.</w:t>
      </w:r>
    </w:p>
    <w:p w14:paraId="2F811DF4"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Conceptual Framework: Restorative practices (independent variable) are expected to influence behavioral outcomes such as emotional regulation, empathy, and social reintegration (dependent variables). Gender acts as a moderating variable that influences the relationship between restorative practices and behavioral outcomes. Contextual factors like socio-economic status and institutional conditions are recognized as shaping the effectiveness of these interventions.</w:t>
      </w:r>
    </w:p>
    <w:p w14:paraId="0766DF54"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lastRenderedPageBreak/>
        <w:t>2.5 Research Gap</w:t>
      </w:r>
    </w:p>
    <w:p w14:paraId="10924A26"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Despite growing global support for restorative justice, there is limited empirical research on its behavioral impact across gender lines in African contexts. Existing studies adequately critique systemic failures and socioeconomic drivers but overlook how restorative practices differentially impact male and female delinquents. This study evaluates the effectiveness of restorative practices on behavioral outcomes in Malawi’s reformatory centers, applying a comparative, gender-focused lens.</w:t>
      </w:r>
    </w:p>
    <w:p w14:paraId="573342DC" w14:textId="77777777" w:rsidR="005A750B" w:rsidRPr="00D542D2" w:rsidRDefault="00000000" w:rsidP="00D542D2">
      <w:pPr>
        <w:pStyle w:val="Heading1"/>
        <w:spacing w:line="360" w:lineRule="auto"/>
        <w:jc w:val="center"/>
        <w:rPr>
          <w:rFonts w:ascii="Times New Roman" w:hAnsi="Times New Roman" w:cs="Times New Roman"/>
          <w:color w:val="auto"/>
          <w:sz w:val="24"/>
          <w:szCs w:val="24"/>
        </w:rPr>
      </w:pPr>
      <w:r w:rsidRPr="00D542D2">
        <w:rPr>
          <w:rFonts w:ascii="Times New Roman" w:hAnsi="Times New Roman" w:cs="Times New Roman"/>
          <w:color w:val="auto"/>
          <w:sz w:val="24"/>
          <w:szCs w:val="24"/>
        </w:rPr>
        <w:t>CHAPTER THREE: METHODOLOGY</w:t>
      </w:r>
    </w:p>
    <w:p w14:paraId="6498CE75"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3.1 Research Design</w:t>
      </w:r>
    </w:p>
    <w:p w14:paraId="553544DB"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This study will adopt a convergent parallel mixed-methods design, integrating quantitative and qualitative approaches to provide a comprehensive understanding of the research problem.</w:t>
      </w:r>
    </w:p>
    <w:p w14:paraId="779F640A"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3.2 Study Area</w:t>
      </w:r>
    </w:p>
    <w:p w14:paraId="38CDD5B6"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The study will be conducted in selected reformatory centres in Malawi, including Kachere and Mpemba, which provide access to both male and female juvenile populations.</w:t>
      </w:r>
    </w:p>
    <w:p w14:paraId="4B8C672E"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3.3 Population and Sampling</w:t>
      </w:r>
    </w:p>
    <w:p w14:paraId="645F3529"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Target Population: The target population will consist of juvenile offenders, as well as rehabilitation officers and social workers involved in their care.</w:t>
      </w:r>
    </w:p>
    <w:p w14:paraId="338763DA"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Sampling Techniques: A stratified sampling technique will be employed to ensure balanced representation of male and female participants. Purposive sampling will be used to select key informants with relevant expertise.</w:t>
      </w:r>
    </w:p>
    <w:p w14:paraId="6C0E62A2"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3.4 Data Collection Methods</w:t>
      </w:r>
    </w:p>
    <w:p w14:paraId="7EEAC2C8"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Quantitative: Structured questionnaires and standardized behavioral assessment tools will be used to measure outcomes such as recidivism, aggression, and empathy.</w:t>
      </w:r>
    </w:p>
    <w:p w14:paraId="0F3F5C15"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Qualitative: Qualitative data will be gathered through in-depth interviews, focus group discussions, and observational methods, allowing for a nuanced exploration of participants’ experiences.</w:t>
      </w:r>
    </w:p>
    <w:p w14:paraId="0CBC5AFD"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lastRenderedPageBreak/>
        <w:t>3.5 Data Analysis</w:t>
      </w:r>
    </w:p>
    <w:p w14:paraId="30FB48B8"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Quantitative Data: Analyzed using SPSS, employing statistical techniques including regression and comparative analysis to examine relationships between variables.</w:t>
      </w:r>
    </w:p>
    <w:p w14:paraId="33218626"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Qualitative Data: Analyzed through thematic analysis to identify key patterns and insights.</w:t>
      </w:r>
    </w:p>
    <w:p w14:paraId="28242856" w14:textId="77777777" w:rsidR="005A750B" w:rsidRPr="00D542D2" w:rsidRDefault="00000000" w:rsidP="00D542D2">
      <w:pPr>
        <w:pStyle w:val="Heading2"/>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3.6 Ethical Considerations</w:t>
      </w:r>
    </w:p>
    <w:p w14:paraId="0E2C3E7E" w14:textId="77777777" w:rsidR="005A750B" w:rsidRPr="00D542D2"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Ethical considerations will be paramount, particularly given the involvement of minors. Protocols will strictly adhere to:</w:t>
      </w:r>
    </w:p>
    <w:p w14:paraId="526613AE"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Informed consent</w:t>
      </w:r>
    </w:p>
    <w:p w14:paraId="310DE4FC"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Strict confidentiality measures</w:t>
      </w:r>
    </w:p>
    <w:p w14:paraId="7D166B2A" w14:textId="77777777" w:rsidR="005A750B" w:rsidRPr="00D542D2" w:rsidRDefault="00000000" w:rsidP="00D542D2">
      <w:pPr>
        <w:pStyle w:val="ListBullet"/>
        <w:spacing w:line="360" w:lineRule="auto"/>
        <w:rPr>
          <w:rFonts w:ascii="Times New Roman" w:hAnsi="Times New Roman" w:cs="Times New Roman"/>
          <w:sz w:val="24"/>
          <w:szCs w:val="24"/>
        </w:rPr>
      </w:pPr>
      <w:r w:rsidRPr="00D542D2">
        <w:rPr>
          <w:rFonts w:ascii="Times New Roman" w:hAnsi="Times New Roman" w:cs="Times New Roman"/>
          <w:sz w:val="24"/>
          <w:szCs w:val="24"/>
        </w:rPr>
        <w:t>Child protection compliance</w:t>
      </w:r>
    </w:p>
    <w:p w14:paraId="601A1F5E" w14:textId="77777777" w:rsidR="005A750B" w:rsidRPr="00D542D2" w:rsidRDefault="00000000" w:rsidP="00D542D2">
      <w:pPr>
        <w:pStyle w:val="Heading1"/>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t>CONCLUSION</w:t>
      </w:r>
    </w:p>
    <w:p w14:paraId="653255C1" w14:textId="77777777" w:rsidR="005A750B" w:rsidRDefault="00000000" w:rsidP="00D542D2">
      <w:pPr>
        <w:spacing w:line="360" w:lineRule="auto"/>
        <w:rPr>
          <w:rFonts w:ascii="Times New Roman" w:hAnsi="Times New Roman" w:cs="Times New Roman"/>
          <w:sz w:val="24"/>
          <w:szCs w:val="24"/>
        </w:rPr>
      </w:pPr>
      <w:r w:rsidRPr="00D542D2">
        <w:rPr>
          <w:rFonts w:ascii="Times New Roman" w:hAnsi="Times New Roman" w:cs="Times New Roman"/>
          <w:sz w:val="24"/>
          <w:szCs w:val="24"/>
        </w:rPr>
        <w:t>This study is situated at the intersection of global, regional, and local discourses on juvenile justice, offering a timely and contextually grounded examination of restorative practices in Malawi. By integrating recent empirical evidence and adopting a gender-sensitive approach, the study aims to contribute to both academic scholarship and policy development, ultimately supporting the advancement of more effective and equitable juvenile justice systems.</w:t>
      </w:r>
    </w:p>
    <w:p w14:paraId="7C5185F6" w14:textId="77777777" w:rsidR="00D542D2" w:rsidRDefault="00D542D2" w:rsidP="00D542D2">
      <w:pPr>
        <w:spacing w:line="360" w:lineRule="auto"/>
        <w:rPr>
          <w:rFonts w:ascii="Times New Roman" w:hAnsi="Times New Roman" w:cs="Times New Roman"/>
          <w:sz w:val="24"/>
          <w:szCs w:val="24"/>
        </w:rPr>
      </w:pPr>
    </w:p>
    <w:p w14:paraId="69BEE318" w14:textId="77777777" w:rsidR="00D542D2" w:rsidRDefault="00D542D2" w:rsidP="00D542D2">
      <w:pPr>
        <w:spacing w:line="360" w:lineRule="auto"/>
        <w:rPr>
          <w:rFonts w:ascii="Times New Roman" w:hAnsi="Times New Roman" w:cs="Times New Roman"/>
          <w:sz w:val="24"/>
          <w:szCs w:val="24"/>
        </w:rPr>
      </w:pPr>
    </w:p>
    <w:p w14:paraId="350B6744" w14:textId="77777777" w:rsidR="00D542D2" w:rsidRDefault="00D542D2" w:rsidP="00D542D2">
      <w:pPr>
        <w:spacing w:line="360" w:lineRule="auto"/>
        <w:rPr>
          <w:rFonts w:ascii="Times New Roman" w:hAnsi="Times New Roman" w:cs="Times New Roman"/>
          <w:sz w:val="24"/>
          <w:szCs w:val="24"/>
        </w:rPr>
      </w:pPr>
    </w:p>
    <w:p w14:paraId="45B3A16C" w14:textId="77777777" w:rsidR="00D542D2" w:rsidRDefault="00D542D2" w:rsidP="00D542D2">
      <w:pPr>
        <w:spacing w:line="360" w:lineRule="auto"/>
        <w:rPr>
          <w:rFonts w:ascii="Times New Roman" w:hAnsi="Times New Roman" w:cs="Times New Roman"/>
          <w:sz w:val="24"/>
          <w:szCs w:val="24"/>
        </w:rPr>
      </w:pPr>
    </w:p>
    <w:p w14:paraId="39AA8627" w14:textId="77777777" w:rsidR="00D542D2" w:rsidRDefault="00D542D2" w:rsidP="00D542D2">
      <w:pPr>
        <w:spacing w:line="360" w:lineRule="auto"/>
        <w:rPr>
          <w:rFonts w:ascii="Times New Roman" w:hAnsi="Times New Roman" w:cs="Times New Roman"/>
          <w:sz w:val="24"/>
          <w:szCs w:val="24"/>
        </w:rPr>
      </w:pPr>
    </w:p>
    <w:p w14:paraId="5E9ECCAE" w14:textId="77777777" w:rsidR="00D542D2" w:rsidRPr="00D542D2" w:rsidRDefault="00D542D2" w:rsidP="00D542D2">
      <w:pPr>
        <w:spacing w:line="360" w:lineRule="auto"/>
        <w:rPr>
          <w:rFonts w:ascii="Times New Roman" w:hAnsi="Times New Roman" w:cs="Times New Roman"/>
          <w:sz w:val="24"/>
          <w:szCs w:val="24"/>
        </w:rPr>
      </w:pPr>
    </w:p>
    <w:p w14:paraId="5710A993" w14:textId="77777777" w:rsidR="005A750B" w:rsidRPr="00D542D2" w:rsidRDefault="00000000" w:rsidP="00D542D2">
      <w:pPr>
        <w:pStyle w:val="Heading1"/>
        <w:spacing w:line="360" w:lineRule="auto"/>
        <w:rPr>
          <w:rFonts w:ascii="Times New Roman" w:hAnsi="Times New Roman" w:cs="Times New Roman"/>
          <w:color w:val="auto"/>
          <w:sz w:val="24"/>
          <w:szCs w:val="24"/>
        </w:rPr>
      </w:pPr>
      <w:r w:rsidRPr="00D542D2">
        <w:rPr>
          <w:rFonts w:ascii="Times New Roman" w:hAnsi="Times New Roman" w:cs="Times New Roman"/>
          <w:color w:val="auto"/>
          <w:sz w:val="24"/>
          <w:szCs w:val="24"/>
        </w:rPr>
        <w:lastRenderedPageBreak/>
        <w:t>REFERENCES</w:t>
      </w:r>
    </w:p>
    <w:p w14:paraId="35464BC9"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Ademi, A. M. (2023). Intersectionality of juvenile and female delinquency.</w:t>
      </w:r>
    </w:p>
    <w:p w14:paraId="64D640A0"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Bandura, A. (1977). Social learning theory. Prentice Hall.</w:t>
      </w:r>
    </w:p>
    <w:p w14:paraId="0A7A1577"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Chesney-Lind, M. (1997). The Female Offender: Girls, Women, and Crime. Sage Publications.</w:t>
      </w:r>
    </w:p>
    <w:p w14:paraId="089639D2"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Chesney-Lind, M., &amp; Pasko, L. (2013). The Female Offender: Girls, Women, and Crime (3rd ed.). Sage.</w:t>
      </w:r>
    </w:p>
    <w:p w14:paraId="0634DAA0"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Kajawo, S. C. R. (2023). Rehabilitation experiences of young offenders in Malawi. Cogent Social Sciences.</w:t>
      </w:r>
    </w:p>
    <w:p w14:paraId="34B3DB7B"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Kimbrell, C. S., Wilson, D. B., &amp; Olaghere, A. (2022). Restorative justice programs and practices in juvenile justice: An updated systematic review and meta-analysis. Criminology &amp; Public Policy.</w:t>
      </w:r>
    </w:p>
    <w:p w14:paraId="72F7CFBA"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Malanga, D. F. (2021). Gender-based violence and digital harm in Malawi.</w:t>
      </w:r>
    </w:p>
    <w:p w14:paraId="27E90ECE"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Republic of Malawi. (1994). Constitution of the Republic of Malawi. Government Printer.</w:t>
      </w:r>
    </w:p>
    <w:p w14:paraId="32E9AE9B"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Republic of Malawi. (2010). Child Care, Protection and Justice Act. Government Printer.</w:t>
      </w:r>
    </w:p>
    <w:p w14:paraId="49DC4BDF"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Siegel, L. J., &amp; Welsh, B. C. (2017). Juvenile Delinquency: Theory, Practice, and Law. Cengage Learning.</w:t>
      </w:r>
    </w:p>
    <w:p w14:paraId="23578281"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UNICEF. (2024). Reimagining justice for children: Deprivation of liberty.</w:t>
      </w:r>
    </w:p>
    <w:p w14:paraId="6F365631" w14:textId="77777777" w:rsidR="005A750B" w:rsidRPr="00D542D2" w:rsidRDefault="00000000" w:rsidP="00C41E9C">
      <w:pPr>
        <w:pStyle w:val="ListBullet"/>
        <w:numPr>
          <w:ilvl w:val="0"/>
          <w:numId w:val="0"/>
        </w:numPr>
        <w:spacing w:line="360" w:lineRule="auto"/>
        <w:ind w:left="360"/>
        <w:rPr>
          <w:rFonts w:ascii="Times New Roman" w:hAnsi="Times New Roman" w:cs="Times New Roman"/>
          <w:sz w:val="24"/>
          <w:szCs w:val="24"/>
        </w:rPr>
      </w:pPr>
      <w:r w:rsidRPr="00D542D2">
        <w:rPr>
          <w:rFonts w:ascii="Times New Roman" w:hAnsi="Times New Roman" w:cs="Times New Roman"/>
          <w:sz w:val="24"/>
          <w:szCs w:val="24"/>
        </w:rPr>
        <w:t>Zehr, H. (2002). The little book of restorative justice. Good Books.</w:t>
      </w:r>
    </w:p>
    <w:sectPr w:rsidR="005A750B" w:rsidRPr="00D542D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72005989">
    <w:abstractNumId w:val="8"/>
  </w:num>
  <w:num w:numId="2" w16cid:durableId="1652631869">
    <w:abstractNumId w:val="6"/>
  </w:num>
  <w:num w:numId="3" w16cid:durableId="959142624">
    <w:abstractNumId w:val="5"/>
  </w:num>
  <w:num w:numId="4" w16cid:durableId="1805931188">
    <w:abstractNumId w:val="4"/>
  </w:num>
  <w:num w:numId="5" w16cid:durableId="1380663478">
    <w:abstractNumId w:val="7"/>
  </w:num>
  <w:num w:numId="6" w16cid:durableId="85007630">
    <w:abstractNumId w:val="3"/>
  </w:num>
  <w:num w:numId="7" w16cid:durableId="604193739">
    <w:abstractNumId w:val="2"/>
  </w:num>
  <w:num w:numId="8" w16cid:durableId="1239555404">
    <w:abstractNumId w:val="1"/>
  </w:num>
  <w:num w:numId="9" w16cid:durableId="1128089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553EA"/>
    <w:rsid w:val="005A750B"/>
    <w:rsid w:val="00AA1D8D"/>
    <w:rsid w:val="00B47730"/>
    <w:rsid w:val="00C41E9C"/>
    <w:rsid w:val="00CB0664"/>
    <w:rsid w:val="00D542D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76D367"/>
  <w14:defaultImageDpi w14:val="300"/>
  <w15:docId w15:val="{F8695D98-7E0A-48E9-98DA-293DFB056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1739</Words>
  <Characters>9915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Andrew Banda</cp:lastModifiedBy>
  <cp:revision>2</cp:revision>
  <dcterms:created xsi:type="dcterms:W3CDTF">2026-07-02T07:51:00Z</dcterms:created>
  <dcterms:modified xsi:type="dcterms:W3CDTF">2026-07-02T07:51:00Z</dcterms:modified>
  <cp:category/>
</cp:coreProperties>
</file>